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8C2F" w14:textId="77777777" w:rsidR="00AA52FC" w:rsidRDefault="00495924">
      <w:pPr>
        <w:widowControl w:val="0"/>
        <w:spacing w:after="0"/>
        <w:rPr>
          <w:rFonts w:ascii="Arial" w:eastAsia="Arial" w:hAnsi="Arial" w:cs="Arial"/>
        </w:rPr>
      </w:pPr>
      <w:r>
        <w:rPr>
          <w:rFonts w:ascii="Arial" w:eastAsia="Arial" w:hAnsi="Arial" w:cs="Arial"/>
          <w:noProof/>
        </w:rPr>
        <mc:AlternateContent>
          <mc:Choice Requires="wps">
            <w:drawing>
              <wp:anchor distT="0" distB="0" distL="114300" distR="114300" simplePos="0" relativeHeight="251659264" behindDoc="1" locked="0" layoutInCell="1" allowOverlap="1" wp14:anchorId="6F42FA3C" wp14:editId="7786C9ED">
                <wp:simplePos x="0" y="0"/>
                <wp:positionH relativeFrom="page">
                  <wp:posOffset>0</wp:posOffset>
                </wp:positionH>
                <wp:positionV relativeFrom="page">
                  <wp:posOffset>896620</wp:posOffset>
                </wp:positionV>
                <wp:extent cx="7556500" cy="1095375"/>
                <wp:effectExtent l="0" t="0" r="6350" b="9525"/>
                <wp:wrapNone/>
                <wp:docPr id="54" name="54 Rectángulo"/>
                <wp:cNvGraphicFramePr/>
                <a:graphic xmlns:a="http://schemas.openxmlformats.org/drawingml/2006/main">
                  <a:graphicData uri="http://schemas.microsoft.com/office/word/2010/wordprocessingShape">
                    <wps:wsp>
                      <wps:cNvSpPr/>
                      <wps:spPr>
                        <a:xfrm>
                          <a:off x="0" y="0"/>
                          <a:ext cx="7556500" cy="1095375"/>
                        </a:xfrm>
                        <a:prstGeom prst="rect">
                          <a:avLst/>
                        </a:prstGeom>
                        <a:solidFill>
                          <a:schemeClr val="accent5">
                            <a:lumMod val="40000"/>
                            <a:lumOff val="6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4 Rectángulo" o:spid="_x0000_s1026" style="position:absolute;margin-left:0;margin-top:70.6pt;width:59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" fillcolor="#b6dde8 [1304]" stroked="f">
                <w10:wrap anchorx="page" anchory="page"/>
              </v:rect>
            </w:pict>
          </mc:Fallback>
        </mc:AlternateContent>
      </w:r>
      <w:r>
        <w:rPr>
          <w:rFonts w:ascii="Arial" w:eastAsia="Arial" w:hAnsi="Arial" w:cs="Arial"/>
          <w:noProof/>
        </w:rPr>
        <mc:AlternateContent>
          <mc:Choice Requires="wps">
            <w:drawing>
              <wp:anchor distT="0" distB="0" distL="114300" distR="114300" simplePos="0" relativeHeight="251660288" behindDoc="0" locked="0" layoutInCell="1" allowOverlap="1" wp14:anchorId="08FD8C27" wp14:editId="01F65BCF">
                <wp:simplePos x="0" y="0"/>
                <wp:positionH relativeFrom="column">
                  <wp:posOffset>-3810</wp:posOffset>
                </wp:positionH>
                <wp:positionV relativeFrom="margin">
                  <wp:posOffset>-80010</wp:posOffset>
                </wp:positionV>
                <wp:extent cx="5683885" cy="1000760"/>
                <wp:effectExtent l="0" t="0" r="0" b="8890"/>
                <wp:wrapTopAndBottom/>
                <wp:docPr id="16" name="16 Cuadro de texto"/>
                <wp:cNvGraphicFramePr/>
                <a:graphic xmlns:a="http://schemas.openxmlformats.org/drawingml/2006/main">
                  <a:graphicData uri="http://schemas.microsoft.com/office/word/2010/wordprocessingShape">
                    <wps:wsp>
                      <wps:cNvSpPr txBox="1"/>
                      <wps:spPr>
                        <a:xfrm>
                          <a:off x="0" y="0"/>
                          <a:ext cx="5683885" cy="1000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96C17" w14:textId="77777777" w:rsidR="005F157E" w:rsidRPr="007F08A1" w:rsidRDefault="007F08A1" w:rsidP="00B747F3">
                            <w:pPr>
                              <w:spacing w:line="240" w:lineRule="auto"/>
                              <w:jc w:val="center"/>
                              <w:rPr>
                                <w:sz w:val="40"/>
                                <w:szCs w:val="40"/>
                                <w:lang w:val="es-MX"/>
                              </w:rPr>
                            </w:pPr>
                            <w:r w:rsidRPr="007F08A1">
                              <w:rPr>
                                <w:rFonts w:ascii="Arial Black" w:eastAsia="Arial Black" w:hAnsi="Arial Black" w:cs="Arial Black"/>
                                <w:color w:val="000000"/>
                                <w:sz w:val="36"/>
                                <w:szCs w:val="36"/>
                                <w:lang w:val="es-MX"/>
                              </w:rPr>
                              <w:t>Desafíos de Género en el Abordaje de Consumo Problemático: Una Mirada a la Experiencia de Mujeres</w:t>
                            </w:r>
                            <w:r>
                              <w:rPr>
                                <w:rFonts w:ascii="Arial Black" w:eastAsia="Arial Black" w:hAnsi="Arial Black" w:cs="Arial Black"/>
                                <w:color w:val="000000"/>
                                <w:sz w:val="44"/>
                                <w:szCs w:val="44"/>
                                <w:lang w:val="es-MX"/>
                              </w:rPr>
                              <w:t xml:space="preserve"> y Diversidades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8C27" id="_x0000_t202" coordsize="21600,21600" o:spt="202" path="m,l,21600r21600,l21600,xe">
                <v:stroke joinstyle="miter"/>
                <v:path gradientshapeok="t" o:connecttype="rect"/>
              </v:shapetype>
              <v:shape id="16 Cuadro de texto" o:spid="_x0000_s1026" type="#_x0000_t202" style="position:absolute;margin-left:-.3pt;margin-top:-6.3pt;width:447.55pt;height:7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" filled="f" stroked="f" strokeweight=".5pt">
                <v:textbox inset="1mm,0,1mm,0">
                  <w:txbxContent>
                    <w:p w14:paraId="7B596C17" w14:textId="77777777" w:rsidR="005F157E" w:rsidRPr="007F08A1" w:rsidRDefault="007F08A1" w:rsidP="00B747F3">
                      <w:pPr>
                        <w:spacing w:line="240" w:lineRule="auto"/>
                        <w:jc w:val="center"/>
                        <w:rPr>
                          <w:sz w:val="40"/>
                          <w:szCs w:val="40"/>
                          <w:lang w:val="es-MX"/>
                        </w:rPr>
                      </w:pPr>
                      <w:r w:rsidRPr="007F08A1">
                        <w:rPr>
                          <w:rFonts w:ascii="Arial Black" w:eastAsia="Arial Black" w:hAnsi="Arial Black" w:cs="Arial Black"/>
                          <w:color w:val="000000"/>
                          <w:sz w:val="36"/>
                          <w:szCs w:val="36"/>
                          <w:lang w:val="es-MX"/>
                        </w:rPr>
                        <w:t>Desafíos de Género en el Abordaje de Consumo Problemático: Una Mirada a la Experiencia de Mujeres</w:t>
                      </w:r>
                      <w:r>
                        <w:rPr>
                          <w:rFonts w:ascii="Arial Black" w:eastAsia="Arial Black" w:hAnsi="Arial Black" w:cs="Arial Black"/>
                          <w:color w:val="000000"/>
                          <w:sz w:val="44"/>
                          <w:szCs w:val="44"/>
                          <w:lang w:val="es-MX"/>
                        </w:rPr>
                        <w:t xml:space="preserve"> y Diversidades</w:t>
                      </w:r>
                    </w:p>
                  </w:txbxContent>
                </v:textbox>
                <w10:wrap type="topAndBottom" anchory="margin"/>
              </v:shape>
            </w:pict>
          </mc:Fallback>
        </mc:AlternateContent>
      </w:r>
    </w:p>
    <w:tbl>
      <w:tblPr>
        <w:tblStyle w:val="a"/>
        <w:tblW w:w="9072" w:type="dxa"/>
        <w:jc w:val="center"/>
        <w:tblInd w:w="0"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shd w:val="clear" w:color="auto" w:fill="D9D9D9" w:themeFill="background1" w:themeFillShade="D9"/>
        <w:tblLayout w:type="fixed"/>
        <w:tblLook w:val="0600" w:firstRow="0" w:lastRow="0" w:firstColumn="0" w:lastColumn="0" w:noHBand="1" w:noVBand="1"/>
      </w:tblPr>
      <w:tblGrid>
        <w:gridCol w:w="3576"/>
        <w:gridCol w:w="3525"/>
        <w:gridCol w:w="1971"/>
      </w:tblGrid>
      <w:tr w:rsidR="00771486" w:rsidRPr="0097472A" w14:paraId="53A68A74" w14:textId="77777777" w:rsidTr="00E51869">
        <w:trPr>
          <w:trHeight w:val="340"/>
          <w:jc w:val="center"/>
        </w:trPr>
        <w:tc>
          <w:tcPr>
            <w:tcW w:w="3576" w:type="dxa"/>
            <w:shd w:val="clear" w:color="auto" w:fill="D9D9D9" w:themeFill="background1" w:themeFillShade="D9"/>
            <w:vAlign w:val="center"/>
          </w:tcPr>
          <w:p w14:paraId="4577B2FA" w14:textId="77777777" w:rsidR="00771486" w:rsidRPr="0097472A" w:rsidRDefault="00EB67CD" w:rsidP="005F157E">
            <w:pPr>
              <w:spacing w:after="0" w:line="240" w:lineRule="auto"/>
              <w:jc w:val="center"/>
              <w:rPr>
                <w:rFonts w:ascii="Arial" w:hAnsi="Arial" w:cs="Arial"/>
                <w:sz w:val="24"/>
                <w:szCs w:val="24"/>
              </w:rPr>
            </w:pPr>
            <w:proofErr w:type="spellStart"/>
            <w:r w:rsidRPr="0097472A">
              <w:rPr>
                <w:rFonts w:ascii="Arial" w:hAnsi="Arial" w:cs="Arial"/>
                <w:sz w:val="24"/>
                <w:szCs w:val="24"/>
              </w:rPr>
              <w:t>Autorxs</w:t>
            </w:r>
            <w:proofErr w:type="spellEnd"/>
          </w:p>
        </w:tc>
        <w:tc>
          <w:tcPr>
            <w:tcW w:w="3525" w:type="dxa"/>
            <w:shd w:val="clear" w:color="auto" w:fill="D9D9D9" w:themeFill="background1" w:themeFillShade="D9"/>
            <w:vAlign w:val="center"/>
          </w:tcPr>
          <w:p w14:paraId="1C19FABD" w14:textId="77777777" w:rsidR="00771486" w:rsidRPr="0097472A" w:rsidRDefault="00EB67CD" w:rsidP="005F157E">
            <w:pPr>
              <w:spacing w:after="0" w:line="240" w:lineRule="auto"/>
              <w:jc w:val="center"/>
              <w:rPr>
                <w:rFonts w:ascii="Arial" w:hAnsi="Arial" w:cs="Arial"/>
                <w:sz w:val="24"/>
                <w:szCs w:val="24"/>
              </w:rPr>
            </w:pPr>
            <w:r w:rsidRPr="0097472A">
              <w:rPr>
                <w:rFonts w:ascii="Arial" w:hAnsi="Arial" w:cs="Arial"/>
                <w:sz w:val="24"/>
                <w:szCs w:val="24"/>
              </w:rPr>
              <w:t>Contacto</w:t>
            </w:r>
          </w:p>
        </w:tc>
        <w:tc>
          <w:tcPr>
            <w:tcW w:w="1971" w:type="dxa"/>
            <w:shd w:val="clear" w:color="auto" w:fill="D9D9D9" w:themeFill="background1" w:themeFillShade="D9"/>
            <w:vAlign w:val="center"/>
          </w:tcPr>
          <w:p w14:paraId="2BB4D6F0" w14:textId="77777777" w:rsidR="00771486" w:rsidRPr="0097472A" w:rsidRDefault="00EB67CD" w:rsidP="005F157E">
            <w:pPr>
              <w:spacing w:after="0" w:line="240" w:lineRule="auto"/>
              <w:jc w:val="center"/>
              <w:rPr>
                <w:rFonts w:ascii="Arial" w:hAnsi="Arial" w:cs="Arial"/>
                <w:sz w:val="24"/>
                <w:szCs w:val="24"/>
              </w:rPr>
            </w:pPr>
            <w:r w:rsidRPr="0097472A">
              <w:rPr>
                <w:rFonts w:ascii="Arial" w:hAnsi="Arial" w:cs="Arial"/>
                <w:sz w:val="24"/>
                <w:szCs w:val="24"/>
              </w:rPr>
              <w:t>DNI</w:t>
            </w:r>
          </w:p>
        </w:tc>
      </w:tr>
      <w:tr w:rsidR="00771486" w:rsidRPr="0097472A" w14:paraId="66E792E7" w14:textId="77777777" w:rsidTr="00E51869">
        <w:trPr>
          <w:trHeight w:val="340"/>
          <w:jc w:val="center"/>
        </w:trPr>
        <w:tc>
          <w:tcPr>
            <w:tcW w:w="3576" w:type="dxa"/>
            <w:shd w:val="clear" w:color="auto" w:fill="D9D9D9" w:themeFill="background1" w:themeFillShade="D9"/>
            <w:vAlign w:val="center"/>
          </w:tcPr>
          <w:p w14:paraId="371A791B" w14:textId="77777777" w:rsidR="00E51869" w:rsidRPr="0097472A" w:rsidRDefault="007F08A1" w:rsidP="00E51869">
            <w:pPr>
              <w:spacing w:after="0" w:line="240" w:lineRule="auto"/>
              <w:jc w:val="center"/>
              <w:rPr>
                <w:rFonts w:ascii="Arial" w:hAnsi="Arial" w:cs="Arial"/>
                <w:sz w:val="24"/>
                <w:szCs w:val="24"/>
              </w:rPr>
            </w:pPr>
            <w:proofErr w:type="spellStart"/>
            <w:r>
              <w:rPr>
                <w:rFonts w:ascii="Arial" w:hAnsi="Arial" w:cs="Arial"/>
                <w:sz w:val="24"/>
                <w:szCs w:val="24"/>
              </w:rPr>
              <w:t>Teruggi</w:t>
            </w:r>
            <w:proofErr w:type="spellEnd"/>
            <w:r>
              <w:rPr>
                <w:rFonts w:ascii="Arial" w:hAnsi="Arial" w:cs="Arial"/>
                <w:sz w:val="24"/>
                <w:szCs w:val="24"/>
              </w:rPr>
              <w:t xml:space="preserve"> </w:t>
            </w:r>
            <w:proofErr w:type="spellStart"/>
            <w:r>
              <w:rPr>
                <w:rFonts w:ascii="Arial" w:hAnsi="Arial" w:cs="Arial"/>
                <w:sz w:val="24"/>
                <w:szCs w:val="24"/>
              </w:rPr>
              <w:t>Agostina</w:t>
            </w:r>
            <w:proofErr w:type="spellEnd"/>
          </w:p>
        </w:tc>
        <w:tc>
          <w:tcPr>
            <w:tcW w:w="3525" w:type="dxa"/>
            <w:shd w:val="clear" w:color="auto" w:fill="D9D9D9" w:themeFill="background1" w:themeFillShade="D9"/>
            <w:vAlign w:val="center"/>
          </w:tcPr>
          <w:p w14:paraId="0DA4C90B"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agos.teruggi@gmail.com</w:t>
            </w:r>
          </w:p>
        </w:tc>
        <w:tc>
          <w:tcPr>
            <w:tcW w:w="1971" w:type="dxa"/>
            <w:shd w:val="clear" w:color="auto" w:fill="D9D9D9" w:themeFill="background1" w:themeFillShade="D9"/>
            <w:vAlign w:val="center"/>
          </w:tcPr>
          <w:p w14:paraId="05C1625F"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37434124</w:t>
            </w:r>
          </w:p>
        </w:tc>
      </w:tr>
      <w:tr w:rsidR="00771486" w:rsidRPr="0097472A" w14:paraId="56C4DE28" w14:textId="77777777" w:rsidTr="00E51869">
        <w:trPr>
          <w:trHeight w:val="340"/>
          <w:jc w:val="center"/>
        </w:trPr>
        <w:tc>
          <w:tcPr>
            <w:tcW w:w="3576" w:type="dxa"/>
            <w:shd w:val="clear" w:color="auto" w:fill="D9D9D9" w:themeFill="background1" w:themeFillShade="D9"/>
            <w:vAlign w:val="center"/>
          </w:tcPr>
          <w:p w14:paraId="5CFB9131" w14:textId="77777777" w:rsidR="00771486" w:rsidRPr="0097472A" w:rsidRDefault="007F08A1" w:rsidP="005F157E">
            <w:pPr>
              <w:spacing w:after="0" w:line="240" w:lineRule="auto"/>
              <w:jc w:val="center"/>
              <w:rPr>
                <w:rFonts w:ascii="Arial" w:hAnsi="Arial" w:cs="Arial"/>
                <w:sz w:val="24"/>
                <w:szCs w:val="24"/>
              </w:rPr>
            </w:pPr>
            <w:r>
              <w:rPr>
                <w:rFonts w:ascii="Arial" w:hAnsi="Arial" w:cs="Arial"/>
                <w:sz w:val="24"/>
                <w:szCs w:val="24"/>
              </w:rPr>
              <w:t>Grave Leandro</w:t>
            </w:r>
          </w:p>
        </w:tc>
        <w:tc>
          <w:tcPr>
            <w:tcW w:w="3525" w:type="dxa"/>
            <w:shd w:val="clear" w:color="auto" w:fill="D9D9D9" w:themeFill="background1" w:themeFillShade="D9"/>
            <w:vAlign w:val="center"/>
          </w:tcPr>
          <w:p w14:paraId="39FDE682"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ps.leandrograve@gmail.com</w:t>
            </w:r>
          </w:p>
        </w:tc>
        <w:tc>
          <w:tcPr>
            <w:tcW w:w="1971" w:type="dxa"/>
            <w:shd w:val="clear" w:color="auto" w:fill="D9D9D9" w:themeFill="background1" w:themeFillShade="D9"/>
            <w:vAlign w:val="center"/>
          </w:tcPr>
          <w:p w14:paraId="5C80DDAB"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32792105</w:t>
            </w:r>
          </w:p>
        </w:tc>
      </w:tr>
      <w:tr w:rsidR="00771486" w:rsidRPr="0097472A" w14:paraId="7139D67A" w14:textId="77777777" w:rsidTr="00E51869">
        <w:trPr>
          <w:trHeight w:val="340"/>
          <w:jc w:val="center"/>
        </w:trPr>
        <w:tc>
          <w:tcPr>
            <w:tcW w:w="3576" w:type="dxa"/>
            <w:shd w:val="clear" w:color="auto" w:fill="D9D9D9" w:themeFill="background1" w:themeFillShade="D9"/>
            <w:vAlign w:val="center"/>
          </w:tcPr>
          <w:p w14:paraId="598B9A18" w14:textId="77777777" w:rsidR="00771486" w:rsidRPr="0097472A" w:rsidRDefault="007F08A1" w:rsidP="005F157E">
            <w:pPr>
              <w:spacing w:after="0" w:line="240" w:lineRule="auto"/>
              <w:jc w:val="center"/>
              <w:rPr>
                <w:rFonts w:ascii="Arial" w:hAnsi="Arial" w:cs="Arial"/>
                <w:sz w:val="24"/>
                <w:szCs w:val="24"/>
              </w:rPr>
            </w:pPr>
            <w:proofErr w:type="spellStart"/>
            <w:r>
              <w:rPr>
                <w:rFonts w:ascii="Arial" w:hAnsi="Arial" w:cs="Arial"/>
                <w:sz w:val="24"/>
                <w:szCs w:val="24"/>
              </w:rPr>
              <w:t>Leguizamon</w:t>
            </w:r>
            <w:proofErr w:type="spellEnd"/>
            <w:r>
              <w:rPr>
                <w:rFonts w:ascii="Arial" w:hAnsi="Arial" w:cs="Arial"/>
                <w:sz w:val="24"/>
                <w:szCs w:val="24"/>
              </w:rPr>
              <w:t xml:space="preserve"> Brenda</w:t>
            </w:r>
          </w:p>
        </w:tc>
        <w:tc>
          <w:tcPr>
            <w:tcW w:w="3525" w:type="dxa"/>
            <w:shd w:val="clear" w:color="auto" w:fill="D9D9D9" w:themeFill="background1" w:themeFillShade="D9"/>
            <w:vAlign w:val="center"/>
          </w:tcPr>
          <w:p w14:paraId="5BA36455"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leguizamonbrenda@mdp.edu.ar</w:t>
            </w:r>
          </w:p>
        </w:tc>
        <w:tc>
          <w:tcPr>
            <w:tcW w:w="1971" w:type="dxa"/>
            <w:shd w:val="clear" w:color="auto" w:fill="D9D9D9" w:themeFill="background1" w:themeFillShade="D9"/>
            <w:vAlign w:val="center"/>
          </w:tcPr>
          <w:p w14:paraId="264CF403"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39873366</w:t>
            </w:r>
          </w:p>
        </w:tc>
      </w:tr>
      <w:tr w:rsidR="00771486" w:rsidRPr="0097472A" w14:paraId="0FCF33A4" w14:textId="77777777" w:rsidTr="00E51869">
        <w:trPr>
          <w:trHeight w:val="340"/>
          <w:jc w:val="center"/>
        </w:trPr>
        <w:tc>
          <w:tcPr>
            <w:tcW w:w="3576" w:type="dxa"/>
            <w:shd w:val="clear" w:color="auto" w:fill="D9D9D9" w:themeFill="background1" w:themeFillShade="D9"/>
            <w:vAlign w:val="center"/>
          </w:tcPr>
          <w:p w14:paraId="52E5F9C9" w14:textId="77777777" w:rsidR="00771486" w:rsidRPr="0097472A" w:rsidRDefault="007F08A1" w:rsidP="005F157E">
            <w:pPr>
              <w:spacing w:after="0" w:line="240" w:lineRule="auto"/>
              <w:jc w:val="center"/>
              <w:rPr>
                <w:rFonts w:ascii="Arial" w:hAnsi="Arial" w:cs="Arial"/>
                <w:sz w:val="24"/>
                <w:szCs w:val="24"/>
              </w:rPr>
            </w:pPr>
            <w:proofErr w:type="spellStart"/>
            <w:r>
              <w:rPr>
                <w:rFonts w:ascii="Arial" w:hAnsi="Arial" w:cs="Arial"/>
                <w:sz w:val="24"/>
                <w:szCs w:val="24"/>
              </w:rPr>
              <w:t>Crosetta</w:t>
            </w:r>
            <w:proofErr w:type="spellEnd"/>
            <w:r>
              <w:rPr>
                <w:rFonts w:ascii="Arial" w:hAnsi="Arial" w:cs="Arial"/>
                <w:sz w:val="24"/>
                <w:szCs w:val="24"/>
              </w:rPr>
              <w:t xml:space="preserve"> Camila </w:t>
            </w:r>
          </w:p>
        </w:tc>
        <w:tc>
          <w:tcPr>
            <w:tcW w:w="3525" w:type="dxa"/>
            <w:shd w:val="clear" w:color="auto" w:fill="D9D9D9" w:themeFill="background1" w:themeFillShade="D9"/>
            <w:vAlign w:val="center"/>
          </w:tcPr>
          <w:p w14:paraId="5BAC6A69"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camicrosetta@gmail.com</w:t>
            </w:r>
          </w:p>
        </w:tc>
        <w:tc>
          <w:tcPr>
            <w:tcW w:w="1971" w:type="dxa"/>
            <w:shd w:val="clear" w:color="auto" w:fill="D9D9D9" w:themeFill="background1" w:themeFillShade="D9"/>
            <w:vAlign w:val="center"/>
          </w:tcPr>
          <w:p w14:paraId="007B288C"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37030924</w:t>
            </w:r>
          </w:p>
        </w:tc>
      </w:tr>
      <w:tr w:rsidR="00771486" w:rsidRPr="0097472A" w14:paraId="1DB679E2" w14:textId="77777777" w:rsidTr="00E51869">
        <w:trPr>
          <w:trHeight w:val="340"/>
          <w:jc w:val="center"/>
        </w:trPr>
        <w:tc>
          <w:tcPr>
            <w:tcW w:w="3576" w:type="dxa"/>
            <w:shd w:val="clear" w:color="auto" w:fill="D9D9D9" w:themeFill="background1" w:themeFillShade="D9"/>
            <w:vAlign w:val="center"/>
          </w:tcPr>
          <w:p w14:paraId="1AFCD793" w14:textId="77777777" w:rsidR="00771486" w:rsidRPr="0097472A" w:rsidRDefault="007F08A1" w:rsidP="005F157E">
            <w:pPr>
              <w:spacing w:after="0" w:line="240" w:lineRule="auto"/>
              <w:jc w:val="center"/>
              <w:rPr>
                <w:rFonts w:ascii="Arial" w:hAnsi="Arial" w:cs="Arial"/>
                <w:sz w:val="24"/>
                <w:szCs w:val="24"/>
              </w:rPr>
            </w:pPr>
            <w:proofErr w:type="spellStart"/>
            <w:r>
              <w:rPr>
                <w:rFonts w:ascii="Arial" w:hAnsi="Arial" w:cs="Arial"/>
                <w:sz w:val="24"/>
                <w:szCs w:val="24"/>
              </w:rPr>
              <w:t>Perni</w:t>
            </w:r>
            <w:proofErr w:type="spellEnd"/>
            <w:r>
              <w:rPr>
                <w:rFonts w:ascii="Arial" w:hAnsi="Arial" w:cs="Arial"/>
                <w:sz w:val="24"/>
                <w:szCs w:val="24"/>
              </w:rPr>
              <w:t xml:space="preserve"> Virginia</w:t>
            </w:r>
          </w:p>
        </w:tc>
        <w:tc>
          <w:tcPr>
            <w:tcW w:w="3525" w:type="dxa"/>
            <w:shd w:val="clear" w:color="auto" w:fill="D9D9D9" w:themeFill="background1" w:themeFillShade="D9"/>
            <w:vAlign w:val="center"/>
          </w:tcPr>
          <w:p w14:paraId="70E6DBD5"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virginiaperni@gmail.com</w:t>
            </w:r>
          </w:p>
        </w:tc>
        <w:tc>
          <w:tcPr>
            <w:tcW w:w="1971" w:type="dxa"/>
            <w:shd w:val="clear" w:color="auto" w:fill="D9D9D9" w:themeFill="background1" w:themeFillShade="D9"/>
            <w:vAlign w:val="center"/>
          </w:tcPr>
          <w:p w14:paraId="638C7020" w14:textId="77777777" w:rsidR="00771486" w:rsidRPr="0097472A" w:rsidRDefault="00091A91" w:rsidP="005F157E">
            <w:pPr>
              <w:spacing w:after="0" w:line="240" w:lineRule="auto"/>
              <w:jc w:val="center"/>
              <w:rPr>
                <w:rFonts w:ascii="Arial" w:hAnsi="Arial" w:cs="Arial"/>
                <w:sz w:val="24"/>
                <w:szCs w:val="24"/>
              </w:rPr>
            </w:pPr>
            <w:r>
              <w:rPr>
                <w:rFonts w:ascii="Arial" w:hAnsi="Arial" w:cs="Arial"/>
                <w:sz w:val="24"/>
                <w:szCs w:val="24"/>
              </w:rPr>
              <w:t>18331360</w:t>
            </w:r>
          </w:p>
        </w:tc>
      </w:tr>
    </w:tbl>
    <w:p w14:paraId="7C6E890C" w14:textId="77777777" w:rsidR="008814B5" w:rsidRPr="001174DF" w:rsidRDefault="008814B5" w:rsidP="00B747F3">
      <w:pPr>
        <w:widowControl w:val="0"/>
        <w:pBdr>
          <w:top w:val="nil"/>
          <w:left w:val="nil"/>
          <w:bottom w:val="nil"/>
          <w:right w:val="nil"/>
          <w:between w:val="nil"/>
        </w:pBdr>
        <w:spacing w:after="0" w:line="360" w:lineRule="auto"/>
      </w:pPr>
    </w:p>
    <w:p w14:paraId="378C892C" w14:textId="77777777" w:rsidR="008814B5" w:rsidRPr="001174DF" w:rsidRDefault="008814B5" w:rsidP="00B747F3">
      <w:pPr>
        <w:widowControl w:val="0"/>
        <w:pBdr>
          <w:top w:val="nil"/>
          <w:left w:val="nil"/>
          <w:bottom w:val="nil"/>
          <w:right w:val="nil"/>
          <w:between w:val="nil"/>
        </w:pBdr>
        <w:spacing w:after="0" w:line="360" w:lineRule="auto"/>
        <w:sectPr w:rsidR="008814B5" w:rsidRPr="001174DF" w:rsidSect="00E51869">
          <w:headerReference w:type="default" r:id="rId8"/>
          <w:footerReference w:type="default" r:id="rId9"/>
          <w:pgSz w:w="11906" w:h="16838" w:code="9"/>
          <w:pgMar w:top="1418" w:right="1418" w:bottom="1418" w:left="1418" w:header="1417" w:footer="709" w:gutter="0"/>
          <w:cols w:space="720"/>
          <w:docGrid w:linePitch="299"/>
        </w:sectPr>
      </w:pPr>
    </w:p>
    <w:p w14:paraId="2577218C" w14:textId="77777777" w:rsidR="0054661E" w:rsidRPr="001174DF" w:rsidRDefault="002913EF"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rPr>
        <w:sectPr w:rsidR="0054661E" w:rsidRPr="001174DF" w:rsidSect="00105DD5">
          <w:type w:val="continuous"/>
          <w:pgSz w:w="11906" w:h="16838" w:code="9"/>
          <w:pgMar w:top="1418" w:right="1418" w:bottom="1418" w:left="1418" w:header="1418" w:footer="709" w:gutter="0"/>
          <w:pgNumType w:start="1"/>
          <w:cols w:space="720"/>
        </w:sectPr>
      </w:pPr>
      <w:r w:rsidRPr="001174DF">
        <w:rPr>
          <w:rFonts w:ascii="Arial" w:hAnsi="Arial" w:cs="Arial"/>
          <w:sz w:val="24"/>
          <w:szCs w:val="24"/>
        </w:rPr>
        <w:t>Eje:</w:t>
      </w:r>
      <w:r w:rsidR="00AA52FC">
        <w:rPr>
          <w:rFonts w:ascii="Arial" w:hAnsi="Arial" w:cs="Arial"/>
          <w:sz w:val="24"/>
          <w:szCs w:val="24"/>
        </w:rPr>
        <w:t xml:space="preserve"> </w:t>
      </w:r>
      <w:r w:rsidR="00091A91">
        <w:rPr>
          <w:rFonts w:ascii="Arial" w:hAnsi="Arial" w:cs="Arial"/>
          <w:sz w:val="24"/>
          <w:szCs w:val="24"/>
        </w:rPr>
        <w:t xml:space="preserve">Consumos problemáticos </w:t>
      </w:r>
    </w:p>
    <w:p w14:paraId="664EB30D" w14:textId="77777777" w:rsidR="0054661E" w:rsidRPr="001174DF" w:rsidRDefault="0054661E" w:rsidP="00B747F3">
      <w:pPr>
        <w:widowControl w:val="0"/>
        <w:spacing w:after="0" w:line="360" w:lineRule="auto"/>
        <w:rPr>
          <w:rFonts w:ascii="Arial" w:hAnsi="Arial" w:cs="Arial"/>
          <w:sz w:val="24"/>
          <w:szCs w:val="24"/>
        </w:rPr>
      </w:pPr>
    </w:p>
    <w:p w14:paraId="7437E697" w14:textId="77777777" w:rsidR="0054661E" w:rsidRPr="001174DF" w:rsidRDefault="00091A9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sectPr w:rsidR="0054661E" w:rsidRPr="001174DF" w:rsidSect="00105DD5">
          <w:type w:val="continuous"/>
          <w:pgSz w:w="11906" w:h="16838" w:code="9"/>
          <w:pgMar w:top="1418" w:right="1418" w:bottom="1418" w:left="1418" w:header="1418" w:footer="709" w:gutter="0"/>
          <w:pgNumType w:start="1"/>
          <w:cols w:space="720"/>
        </w:sectPr>
      </w:pPr>
      <w:r>
        <w:rPr>
          <w:rFonts w:ascii="Arial" w:eastAsia="Arial" w:hAnsi="Arial" w:cs="Arial"/>
          <w:color w:val="000000"/>
          <w:sz w:val="24"/>
          <w:szCs w:val="24"/>
        </w:rPr>
        <w:t>Palabras clave: consumo problemático; género; mujeres; diversidades; atención integral</w:t>
      </w:r>
    </w:p>
    <w:p w14:paraId="1F962C23" w14:textId="77777777" w:rsidR="0054661E" w:rsidRPr="001174DF" w:rsidRDefault="0054661E" w:rsidP="00B747F3">
      <w:pPr>
        <w:widowControl w:val="0"/>
        <w:spacing w:after="0" w:line="360" w:lineRule="auto"/>
        <w:rPr>
          <w:rFonts w:ascii="Arial" w:eastAsia="Arial" w:hAnsi="Arial" w:cs="Arial"/>
          <w:color w:val="000000"/>
          <w:sz w:val="24"/>
          <w:szCs w:val="24"/>
        </w:rPr>
      </w:pPr>
    </w:p>
    <w:p w14:paraId="5F28092A" w14:textId="77777777" w:rsidR="00B747F3" w:rsidRDefault="00091A9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Pr>
          <w:rFonts w:ascii="Arial" w:eastAsia="Arial" w:hAnsi="Arial" w:cs="Arial"/>
          <w:color w:val="000000"/>
          <w:sz w:val="24"/>
          <w:szCs w:val="24"/>
        </w:rPr>
        <w:t>Resumen: Este trabajo explora la experiencia de dispositivo de atención a personas en situación de consumo problemático, violencia de género y vulnerabilidad social, reconociendo la interrelación compleja entre estas problemáticas. Se destaca la influencia de las trayectorias de vida, el en</w:t>
      </w:r>
      <w:r w:rsidR="008F5661">
        <w:rPr>
          <w:rFonts w:ascii="Arial" w:eastAsia="Arial" w:hAnsi="Arial" w:cs="Arial"/>
          <w:color w:val="000000"/>
          <w:sz w:val="24"/>
          <w:szCs w:val="24"/>
        </w:rPr>
        <w:t xml:space="preserve">tramado social-vincular, económico y cultural, así como las relaciones desiguales de poder entre los géneros en la construcción de consumo problemático. </w:t>
      </w:r>
    </w:p>
    <w:p w14:paraId="1DF470EB" w14:textId="77777777" w:rsidR="008F5661" w:rsidRDefault="008F566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Se analiza como el género, en tanto construcción </w:t>
      </w:r>
      <w:proofErr w:type="spellStart"/>
      <w:r>
        <w:rPr>
          <w:rFonts w:ascii="Arial" w:eastAsia="Arial" w:hAnsi="Arial" w:cs="Arial"/>
          <w:color w:val="000000"/>
          <w:sz w:val="24"/>
          <w:szCs w:val="24"/>
        </w:rPr>
        <w:t>performativa</w:t>
      </w:r>
      <w:proofErr w:type="spellEnd"/>
      <w:r>
        <w:rPr>
          <w:rFonts w:ascii="Arial" w:eastAsia="Arial" w:hAnsi="Arial" w:cs="Arial"/>
          <w:color w:val="000000"/>
          <w:sz w:val="24"/>
          <w:szCs w:val="24"/>
        </w:rPr>
        <w:t xml:space="preserve">, influye en el acceso a los servicios de atención, y en la experiencia del consumo problemático. Las mujeres, atravesadas por mandatos patriarcales y expectativas sociales de cuidado, enfrentan una doble estigmatización: por su consumo problemático y por el desajuste con los roles </w:t>
      </w:r>
      <w:proofErr w:type="spellStart"/>
      <w:r>
        <w:rPr>
          <w:rFonts w:ascii="Arial" w:eastAsia="Arial" w:hAnsi="Arial" w:cs="Arial"/>
          <w:color w:val="000000"/>
          <w:sz w:val="24"/>
          <w:szCs w:val="24"/>
        </w:rPr>
        <w:t>heteronormativos</w:t>
      </w:r>
      <w:proofErr w:type="spellEnd"/>
      <w:r>
        <w:rPr>
          <w:rFonts w:ascii="Arial" w:eastAsia="Arial" w:hAnsi="Arial" w:cs="Arial"/>
          <w:color w:val="000000"/>
          <w:sz w:val="24"/>
          <w:szCs w:val="24"/>
        </w:rPr>
        <w:t>. La “buena madre”, idealizada como cuidadora y abnegada, genera una barrera para las mujeres con responsabilidades familiares, dificultando su acceso a tratamientos.</w:t>
      </w:r>
    </w:p>
    <w:p w14:paraId="459CA6FC" w14:textId="77777777" w:rsidR="008F5661" w:rsidRDefault="008F566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Por otro lado, los estereotipos de masculinidad hegemónica, que asocian la fuerza y la invulnerabilidad al varón, dificultan la expresión de vulnerabilidad y la búsqueda de </w:t>
      </w:r>
      <w:r>
        <w:rPr>
          <w:rFonts w:ascii="Arial" w:eastAsia="Arial" w:hAnsi="Arial" w:cs="Arial"/>
          <w:color w:val="000000"/>
          <w:sz w:val="24"/>
          <w:szCs w:val="24"/>
        </w:rPr>
        <w:lastRenderedPageBreak/>
        <w:t xml:space="preserve">ayuda. Los varones suelen llegar a los servicios de salud con problemas más avanzados lo que dificulta su tratamiento. </w:t>
      </w:r>
    </w:p>
    <w:p w14:paraId="25BEF38E" w14:textId="77777777" w:rsidR="008F5661" w:rsidRDefault="008F566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shd w:val="clear" w:color="auto" w:fill="FFFFFF"/>
        </w:rPr>
      </w:pPr>
      <w:r>
        <w:rPr>
          <w:rFonts w:ascii="Arial" w:eastAsia="Arial" w:hAnsi="Arial" w:cs="Arial"/>
          <w:color w:val="000000"/>
          <w:sz w:val="24"/>
          <w:szCs w:val="24"/>
        </w:rPr>
        <w:t>Se destaca la importancia de abordar las necesidades específicas de mujeres con consumo problemático, promoviendo la corresponsabilidad y un enfoque de género en la atención. Se propone incorporar la perspectiva de género en salud mental, el desarrollo de intervenciones de pareja y la generación de espacios seguros para la comunidad LGBTQ</w:t>
      </w:r>
      <w:r w:rsidRPr="008F5661">
        <w:rPr>
          <w:rFonts w:ascii="Arial" w:eastAsia="Arial" w:hAnsi="Arial" w:cs="Arial"/>
          <w:color w:val="000000"/>
          <w:sz w:val="24"/>
          <w:szCs w:val="24"/>
        </w:rPr>
        <w:t>I</w:t>
      </w:r>
      <w:r w:rsidRPr="008F5661">
        <w:rPr>
          <w:rFonts w:ascii="Arial" w:hAnsi="Arial" w:cs="Arial"/>
          <w:color w:val="000000"/>
          <w:sz w:val="24"/>
          <w:szCs w:val="24"/>
          <w:shd w:val="clear" w:color="auto" w:fill="FFFFFF"/>
        </w:rPr>
        <w:t>+.</w:t>
      </w:r>
    </w:p>
    <w:p w14:paraId="2992588B" w14:textId="77777777" w:rsidR="008F5661" w:rsidRDefault="008F566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Pr>
          <w:rFonts w:ascii="Arial" w:hAnsi="Arial" w:cs="Arial"/>
          <w:color w:val="000000"/>
          <w:sz w:val="24"/>
          <w:szCs w:val="24"/>
          <w:shd w:val="clear" w:color="auto" w:fill="FFFFFF"/>
        </w:rPr>
        <w:t xml:space="preserve">Se presentan desafíos para lograr un cambio real, como la voluntad política, la separación de barreras estructurales y la participación del sector privado y la sociedad civil. </w:t>
      </w:r>
    </w:p>
    <w:p w14:paraId="6E5B8AAF" w14:textId="77777777" w:rsidR="009D55A9" w:rsidRDefault="009D55A9"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p>
    <w:p w14:paraId="48E452A3" w14:textId="77777777" w:rsidR="00B747F3" w:rsidRPr="001174DF" w:rsidRDefault="00B747F3"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sectPr w:rsidR="00B747F3" w:rsidRPr="001174DF" w:rsidSect="00105DD5">
          <w:type w:val="continuous"/>
          <w:pgSz w:w="11906" w:h="16838" w:code="9"/>
          <w:pgMar w:top="1418" w:right="1418" w:bottom="1418" w:left="1418" w:header="1418" w:footer="709" w:gutter="0"/>
          <w:pgNumType w:start="1"/>
          <w:cols w:space="720"/>
        </w:sectPr>
      </w:pPr>
    </w:p>
    <w:p w14:paraId="7A4302D0" w14:textId="77777777" w:rsidR="00AA52FC" w:rsidRDefault="0054661E"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sidRPr="001174DF">
        <w:rPr>
          <w:rFonts w:ascii="Arial" w:eastAsia="Arial" w:hAnsi="Arial" w:cs="Arial"/>
          <w:color w:val="000000"/>
          <w:sz w:val="24"/>
          <w:szCs w:val="24"/>
        </w:rPr>
        <w:lastRenderedPageBreak/>
        <w:t>Trabajo completo: (máx. 8 páginas</w:t>
      </w:r>
      <w:r w:rsidR="001174DF">
        <w:rPr>
          <w:rFonts w:ascii="Arial" w:eastAsia="Arial" w:hAnsi="Arial" w:cs="Arial"/>
          <w:color w:val="000000"/>
          <w:sz w:val="24"/>
          <w:szCs w:val="24"/>
        </w:rPr>
        <w:t xml:space="preserve"> inclui</w:t>
      </w:r>
      <w:r w:rsidR="001174DF" w:rsidRPr="001174DF">
        <w:rPr>
          <w:rFonts w:ascii="Arial" w:eastAsia="Arial" w:hAnsi="Arial" w:cs="Arial"/>
          <w:color w:val="000000"/>
          <w:sz w:val="24"/>
          <w:szCs w:val="24"/>
        </w:rPr>
        <w:t>d</w:t>
      </w:r>
      <w:r w:rsidR="001174DF">
        <w:rPr>
          <w:rFonts w:ascii="Arial" w:eastAsia="Arial" w:hAnsi="Arial" w:cs="Arial"/>
          <w:color w:val="000000"/>
          <w:sz w:val="24"/>
          <w:szCs w:val="24"/>
        </w:rPr>
        <w:t>a</w:t>
      </w:r>
      <w:r w:rsidRPr="001174DF">
        <w:rPr>
          <w:rFonts w:ascii="Arial" w:eastAsia="Arial" w:hAnsi="Arial" w:cs="Arial"/>
          <w:color w:val="000000"/>
          <w:sz w:val="24"/>
          <w:szCs w:val="24"/>
        </w:rPr>
        <w:t xml:space="preserve"> bibliografía)</w:t>
      </w:r>
    </w:p>
    <w:p w14:paraId="77CFF054" w14:textId="77777777" w:rsidR="00105DD5" w:rsidRDefault="00105DD5"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1"/>
          <w:szCs w:val="21"/>
          <w:shd w:val="clear" w:color="auto" w:fill="FFFFFF"/>
        </w:rPr>
      </w:pPr>
    </w:p>
    <w:p w14:paraId="7F43AFA3" w14:textId="77777777" w:rsidR="00105DD5" w:rsidRDefault="0064204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b/>
          <w:color w:val="000000"/>
          <w:sz w:val="24"/>
          <w:szCs w:val="24"/>
        </w:rPr>
      </w:pPr>
      <w:r>
        <w:rPr>
          <w:rFonts w:ascii="Arial" w:eastAsia="Arial" w:hAnsi="Arial" w:cs="Arial"/>
          <w:b/>
          <w:color w:val="000000"/>
          <w:sz w:val="24"/>
          <w:szCs w:val="24"/>
        </w:rPr>
        <w:t>Introducción: Contexto del trabajo</w:t>
      </w:r>
    </w:p>
    <w:p w14:paraId="62B5FA6C" w14:textId="77777777" w:rsidR="00642044" w:rsidRDefault="0064204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Pr>
          <w:rFonts w:ascii="Arial" w:eastAsia="Arial" w:hAnsi="Arial" w:cs="Arial"/>
          <w:color w:val="000000"/>
          <w:sz w:val="24"/>
          <w:szCs w:val="24"/>
        </w:rPr>
        <w:t>En el presente trabajo se analiza la experiencia en dispositivos de atención a personas en situación de consumo problemático, violencia de género y vulnerabilidad social, entendiendo que estás problemáticas no ocurren de manera aislada, sino que interactúan entre sí de forma compleja y multidimensional. Estos dispositivos tienen como objetivo brindar un espacio de tratamiento y atención para dichas problemáticas, abordando las trayectorias de vida individuales y las particularidades de cada contexto social, vincular, económico y cultural, que influyen en el sentido que cada persona da a su consumo.</w:t>
      </w:r>
    </w:p>
    <w:p w14:paraId="7A54E4F6" w14:textId="77777777" w:rsidR="00642044" w:rsidRPr="00642044" w:rsidRDefault="0064204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Pr>
          <w:rFonts w:ascii="Arial" w:eastAsia="Arial" w:hAnsi="Arial" w:cs="Arial"/>
          <w:color w:val="000000"/>
          <w:sz w:val="24"/>
          <w:szCs w:val="24"/>
        </w:rPr>
        <w:t xml:space="preserve">En este sentido, resulta fundamental considerar la diversidad familiar y las </w:t>
      </w:r>
      <w:r w:rsidRPr="00642044">
        <w:rPr>
          <w:rFonts w:ascii="Arial" w:eastAsia="Arial" w:hAnsi="Arial" w:cs="Arial"/>
          <w:color w:val="000000"/>
          <w:sz w:val="24"/>
          <w:szCs w:val="24"/>
        </w:rPr>
        <w:t xml:space="preserve">expectativas individuales, tal como señala </w:t>
      </w:r>
      <w:proofErr w:type="spellStart"/>
      <w:r w:rsidRPr="00642044">
        <w:rPr>
          <w:rFonts w:ascii="Arial" w:eastAsia="Arial" w:hAnsi="Arial" w:cs="Arial"/>
          <w:color w:val="000000"/>
          <w:sz w:val="24"/>
          <w:szCs w:val="24"/>
        </w:rPr>
        <w:t>Cancrini</w:t>
      </w:r>
      <w:proofErr w:type="spellEnd"/>
      <w:r w:rsidRPr="00642044">
        <w:rPr>
          <w:rFonts w:ascii="Arial" w:eastAsia="Arial" w:hAnsi="Arial" w:cs="Arial"/>
          <w:color w:val="000000"/>
          <w:sz w:val="24"/>
          <w:szCs w:val="24"/>
        </w:rPr>
        <w:t xml:space="preserve"> (1988). No todas las familias </w:t>
      </w:r>
      <w:r w:rsidRPr="00642044">
        <w:rPr>
          <w:rFonts w:ascii="Arial" w:hAnsi="Arial" w:cs="Arial"/>
          <w:color w:val="000000"/>
          <w:sz w:val="24"/>
          <w:szCs w:val="24"/>
        </w:rPr>
        <w:t>son homogéneas; cada una presenta necesidades y dinámicas únicas.</w:t>
      </w:r>
      <w:r w:rsidRPr="00642044">
        <w:rPr>
          <w:rFonts w:ascii="Arial" w:eastAsia="Arial" w:hAnsi="Arial" w:cs="Arial"/>
          <w:color w:val="000000"/>
          <w:sz w:val="24"/>
          <w:szCs w:val="24"/>
        </w:rPr>
        <w:t xml:space="preserve"> </w:t>
      </w:r>
      <w:r w:rsidRPr="00642044">
        <w:rPr>
          <w:rFonts w:ascii="Arial" w:hAnsi="Arial" w:cs="Arial"/>
          <w:color w:val="000000"/>
          <w:sz w:val="24"/>
          <w:szCs w:val="24"/>
        </w:rPr>
        <w:t>Las relaciones desiguales de poder entre los géneros también juegan un rol significativo,  limitando en muchos casos el acceso a este tipo de tratamiento a las mujeres y diversidades.</w:t>
      </w:r>
      <w:r>
        <w:rPr>
          <w:rFonts w:ascii="Arial" w:hAnsi="Arial" w:cs="Arial"/>
          <w:color w:val="000000"/>
        </w:rPr>
        <w:t xml:space="preserve"> </w:t>
      </w:r>
      <w:r w:rsidRPr="00642044">
        <w:rPr>
          <w:rFonts w:ascii="Arial" w:hAnsi="Arial" w:cs="Arial"/>
          <w:color w:val="000000"/>
          <w:sz w:val="24"/>
          <w:szCs w:val="24"/>
        </w:rPr>
        <w:t>En las sociedades patriarcales, las relaciones de poder de género están profundamente arraigadas en las estructuras sociales, donde los roles tradicionales asignan a hombres y mujeres posiciones asimétricas.</w:t>
      </w:r>
    </w:p>
    <w:p w14:paraId="25E0A881" w14:textId="77777777" w:rsidR="00642044" w:rsidRDefault="0064204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9A65AD">
        <w:rPr>
          <w:rFonts w:ascii="Arial" w:hAnsi="Arial" w:cs="Arial"/>
          <w:color w:val="000000"/>
          <w:sz w:val="24"/>
          <w:szCs w:val="24"/>
        </w:rPr>
        <w:t xml:space="preserve">Las mujeres, en particular, suelen estar relegadas a roles subordinados que las colocan en situaciones de vulnerabilidad frente a la violencia de género, mientras que los hombres se ven presionados a cumplir con estereotipos de masculinidad hegemónica que limitan su capacidad de expresar emociones o buscar ayuda. Como plantea Butler (1990), el género es una construcción </w:t>
      </w:r>
      <w:proofErr w:type="spellStart"/>
      <w:r w:rsidRPr="009A65AD">
        <w:rPr>
          <w:rFonts w:ascii="Arial" w:hAnsi="Arial" w:cs="Arial"/>
          <w:color w:val="000000"/>
          <w:sz w:val="24"/>
          <w:szCs w:val="24"/>
        </w:rPr>
        <w:t>performativa</w:t>
      </w:r>
      <w:proofErr w:type="spellEnd"/>
      <w:r w:rsidRPr="009A65AD">
        <w:rPr>
          <w:rFonts w:ascii="Arial" w:hAnsi="Arial" w:cs="Arial"/>
          <w:color w:val="000000"/>
          <w:sz w:val="24"/>
          <w:szCs w:val="24"/>
        </w:rPr>
        <w:t>, es decir, no es una expresión en esencia intrínseca, sino un acto repetido que se produce y reproduce a través de discursos y relaciones de poder. Esto es clave para comprender las dinámicas de poder y subordinación que enfrentan las mujeres y personas de la comunidad LGBTI+ en situación de consumo problemático.</w:t>
      </w:r>
    </w:p>
    <w:p w14:paraId="36AD2F5C"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9A65AD">
        <w:rPr>
          <w:rFonts w:ascii="Arial" w:hAnsi="Arial" w:cs="Arial"/>
          <w:color w:val="000000"/>
          <w:sz w:val="24"/>
          <w:szCs w:val="24"/>
        </w:rPr>
        <w:t>Es crucial analizar cómo las mujeres, atravesadas por mandatos patriarcales y expectativas sociales de cuidado, se ven doblemente estigmatizadas en contextos de adicción. En este marco, se observa que varones y mujeres presentan necesidades y problemáticas particulares, influenciadas por su historia de vida y, en gran medida, por los mandatos sociales y roles de género internalizados.</w:t>
      </w:r>
    </w:p>
    <w:p w14:paraId="2CFEB5BD"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9A65AD">
        <w:rPr>
          <w:rFonts w:ascii="Arial" w:hAnsi="Arial" w:cs="Arial"/>
          <w:color w:val="000000"/>
          <w:sz w:val="24"/>
          <w:szCs w:val="24"/>
        </w:rPr>
        <w:lastRenderedPageBreak/>
        <w:t>La accesibilidad a servicios de atención y acompañamiento enfrenta múltiples barreras (administrativas, simbólicas, geográficas, económicas y culturales), lo que requiere un análisis integral, para identificar y eliminar los obstáculos que afectan de manera desproporcionada a mujeres y LGBTI+ en el acceso a tratamientos.</w:t>
      </w:r>
    </w:p>
    <w:p w14:paraId="428EDAEB"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
    <w:p w14:paraId="7D71393E" w14:textId="77777777" w:rsidR="009A65AD"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Pr>
          <w:rFonts w:ascii="Arial" w:hAnsi="Arial" w:cs="Arial"/>
          <w:b/>
          <w:bCs/>
          <w:color w:val="000000"/>
          <w:sz w:val="24"/>
          <w:szCs w:val="24"/>
        </w:rPr>
        <w:t>Cuerpo como m</w:t>
      </w:r>
      <w:r w:rsidR="009A65AD" w:rsidRPr="009A65AD">
        <w:rPr>
          <w:rFonts w:ascii="Arial" w:hAnsi="Arial" w:cs="Arial"/>
          <w:b/>
          <w:bCs/>
          <w:color w:val="000000"/>
          <w:sz w:val="24"/>
          <w:szCs w:val="24"/>
        </w:rPr>
        <w:t xml:space="preserve">ercancía y </w:t>
      </w:r>
      <w:r>
        <w:rPr>
          <w:rFonts w:ascii="Arial" w:hAnsi="Arial" w:cs="Arial"/>
          <w:b/>
          <w:bCs/>
          <w:color w:val="000000"/>
          <w:sz w:val="24"/>
          <w:szCs w:val="24"/>
        </w:rPr>
        <w:t>objeto de c</w:t>
      </w:r>
      <w:r w:rsidR="009A65AD" w:rsidRPr="009A65AD">
        <w:rPr>
          <w:rFonts w:ascii="Arial" w:hAnsi="Arial" w:cs="Arial"/>
          <w:b/>
          <w:bCs/>
          <w:color w:val="000000"/>
          <w:sz w:val="24"/>
          <w:szCs w:val="24"/>
        </w:rPr>
        <w:t>onsumo</w:t>
      </w:r>
    </w:p>
    <w:p w14:paraId="7BADF17C"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shd w:val="clear" w:color="auto" w:fill="FFFFFF"/>
        </w:rPr>
      </w:pPr>
      <w:r w:rsidRPr="009A65AD">
        <w:rPr>
          <w:rFonts w:ascii="Arial" w:hAnsi="Arial" w:cs="Arial"/>
          <w:sz w:val="24"/>
          <w:szCs w:val="24"/>
          <w:shd w:val="clear" w:color="auto" w:fill="FFFFFF"/>
        </w:rPr>
        <w:t>El consumo de sustancias puede interpretarse como una relación especial que el sujeto establece con su propio cuerpo, alterando la percepción de su corporalidad. Utilizando diferentes drogas, dosis, técnicas, vías de administración, se buscan ciertos efectos físicos y psicológicos que se intentarán repetir en cada experiencia de consumo, generando la ilusión de control sobre las reacciones del cuerpo.</w:t>
      </w:r>
    </w:p>
    <w:p w14:paraId="5B162CE3"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shd w:val="clear" w:color="auto" w:fill="FFFFFF"/>
        </w:rPr>
      </w:pPr>
      <w:r w:rsidRPr="009A65AD">
        <w:rPr>
          <w:rFonts w:ascii="Arial" w:hAnsi="Arial" w:cs="Arial"/>
          <w:sz w:val="24"/>
          <w:szCs w:val="24"/>
          <w:shd w:val="clear" w:color="auto" w:fill="FFFFFF"/>
        </w:rPr>
        <w:t xml:space="preserve">Esta supuesta potestad puede llevar a utilizar el cuerpo como forma de intercambio para el consumo, lo que conlleva a la  </w:t>
      </w:r>
      <w:proofErr w:type="spellStart"/>
      <w:r w:rsidRPr="009A65AD">
        <w:rPr>
          <w:rFonts w:ascii="Arial" w:hAnsi="Arial" w:cs="Arial"/>
          <w:sz w:val="24"/>
          <w:szCs w:val="24"/>
          <w:shd w:val="clear" w:color="auto" w:fill="FFFFFF"/>
        </w:rPr>
        <w:t>desafectivización</w:t>
      </w:r>
      <w:proofErr w:type="spellEnd"/>
      <w:r w:rsidRPr="009A65AD">
        <w:rPr>
          <w:rFonts w:ascii="Arial" w:hAnsi="Arial" w:cs="Arial"/>
          <w:sz w:val="24"/>
          <w:szCs w:val="24"/>
          <w:shd w:val="clear" w:color="auto" w:fill="FFFFFF"/>
        </w:rPr>
        <w:t xml:space="preserve"> y anestesia emocional, convirtiéndolo en una mercancía comercializable. En el caso de las mujeres y personas de la comunidad LGBTQ+, donde el acceso al mercado laboral es limitado o precario, el cuerpo puede percibirse como el único bien comercializable. Este uso genera consecuencias psicológicas como </w:t>
      </w:r>
      <w:proofErr w:type="spellStart"/>
      <w:r w:rsidRPr="009A65AD">
        <w:rPr>
          <w:rFonts w:ascii="Arial" w:hAnsi="Arial" w:cs="Arial"/>
          <w:sz w:val="24"/>
          <w:szCs w:val="24"/>
          <w:shd w:val="clear" w:color="auto" w:fill="FFFFFF"/>
        </w:rPr>
        <w:t>culpabilización</w:t>
      </w:r>
      <w:proofErr w:type="spellEnd"/>
      <w:r w:rsidRPr="009A65AD">
        <w:rPr>
          <w:rFonts w:ascii="Arial" w:hAnsi="Arial" w:cs="Arial"/>
          <w:sz w:val="24"/>
          <w:szCs w:val="24"/>
          <w:shd w:val="clear" w:color="auto" w:fill="FFFFFF"/>
        </w:rPr>
        <w:t xml:space="preserve">, angustia, impotencia, malestar subjetivo, además de exponerlas al escarnio  social por no  ajustarse al modelo </w:t>
      </w:r>
      <w:proofErr w:type="spellStart"/>
      <w:r w:rsidRPr="009A65AD">
        <w:rPr>
          <w:rFonts w:ascii="Arial" w:hAnsi="Arial" w:cs="Arial"/>
          <w:sz w:val="24"/>
          <w:szCs w:val="24"/>
          <w:shd w:val="clear" w:color="auto" w:fill="FFFFFF"/>
        </w:rPr>
        <w:t>cisheteropatriarcal</w:t>
      </w:r>
      <w:proofErr w:type="spellEnd"/>
      <w:r w:rsidRPr="009A65AD">
        <w:rPr>
          <w:rFonts w:ascii="Arial" w:hAnsi="Arial" w:cs="Arial"/>
          <w:sz w:val="24"/>
          <w:szCs w:val="24"/>
          <w:shd w:val="clear" w:color="auto" w:fill="FFFFFF"/>
        </w:rPr>
        <w:t>.</w:t>
      </w:r>
    </w:p>
    <w:p w14:paraId="7CC4F0A1"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FF9900"/>
          <w:shd w:val="clear" w:color="auto" w:fill="FFFFFF"/>
        </w:rPr>
      </w:pPr>
      <w:r w:rsidRPr="009A65AD">
        <w:rPr>
          <w:rFonts w:ascii="Arial" w:hAnsi="Arial" w:cs="Arial"/>
          <w:sz w:val="24"/>
          <w:szCs w:val="24"/>
          <w:shd w:val="clear" w:color="auto" w:fill="FFFFFF"/>
        </w:rPr>
        <w:t>Durante el tratamiento, resulta fundamental ofrecer un espacio de contención, escucha activa y acompañamiento, considerando las particularidades de cada historia. Desplegar un relato más elaborado de su realidad permitirá a las personas resignificar situaciones de su vida y proyectar un futuro con mayor autonomía</w:t>
      </w:r>
      <w:r>
        <w:rPr>
          <w:rFonts w:ascii="Arial" w:hAnsi="Arial" w:cs="Arial"/>
          <w:color w:val="FF9900"/>
          <w:shd w:val="clear" w:color="auto" w:fill="FFFFFF"/>
        </w:rPr>
        <w:t>.</w:t>
      </w:r>
    </w:p>
    <w:p w14:paraId="2A504D78"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FF9900"/>
          <w:shd w:val="clear" w:color="auto" w:fill="FFFFFF"/>
        </w:rPr>
      </w:pPr>
    </w:p>
    <w:p w14:paraId="65B8CD88" w14:textId="77777777" w:rsidR="009A65AD"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sidRPr="00F444C4">
        <w:rPr>
          <w:rFonts w:ascii="Arial" w:hAnsi="Arial" w:cs="Arial"/>
          <w:b/>
          <w:bCs/>
          <w:color w:val="000000"/>
          <w:sz w:val="24"/>
          <w:szCs w:val="24"/>
        </w:rPr>
        <w:t>Mandato patriarcal y m</w:t>
      </w:r>
      <w:r w:rsidR="009A65AD" w:rsidRPr="00F444C4">
        <w:rPr>
          <w:rFonts w:ascii="Arial" w:hAnsi="Arial" w:cs="Arial"/>
          <w:b/>
          <w:bCs/>
          <w:color w:val="000000"/>
          <w:sz w:val="24"/>
          <w:szCs w:val="24"/>
        </w:rPr>
        <w:t>aternidad</w:t>
      </w:r>
    </w:p>
    <w:p w14:paraId="7DB1CB8B"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9A65AD">
        <w:rPr>
          <w:rFonts w:ascii="Arial" w:hAnsi="Arial" w:cs="Arial"/>
          <w:color w:val="000000"/>
          <w:sz w:val="24"/>
          <w:szCs w:val="24"/>
        </w:rPr>
        <w:t xml:space="preserve">Las mujeres y personas de la comunidad LGBTQ+ se enfrentan a una doble estigmatización: por un lado, por su consumo problemático y, por otro, por no ajustarse a los roles </w:t>
      </w:r>
      <w:proofErr w:type="spellStart"/>
      <w:r w:rsidRPr="009A65AD">
        <w:rPr>
          <w:rFonts w:ascii="Arial" w:hAnsi="Arial" w:cs="Arial"/>
          <w:color w:val="000000"/>
          <w:sz w:val="24"/>
          <w:szCs w:val="24"/>
        </w:rPr>
        <w:t>heteronormativos</w:t>
      </w:r>
      <w:proofErr w:type="spellEnd"/>
      <w:r w:rsidRPr="009A65AD">
        <w:rPr>
          <w:rFonts w:ascii="Arial" w:hAnsi="Arial" w:cs="Arial"/>
          <w:color w:val="000000"/>
          <w:sz w:val="24"/>
          <w:szCs w:val="24"/>
        </w:rPr>
        <w:t xml:space="preserve"> del patriarcado. Los roles de género asignados a las mujeres, como el cuidado de los demás, entran en conflicto con el consumo de sustancias, generando sentimientos de culpa y malestar subjetivo.</w:t>
      </w:r>
    </w:p>
    <w:p w14:paraId="28DA9E57"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rPr>
      </w:pPr>
      <w:r w:rsidRPr="009A65AD">
        <w:rPr>
          <w:rFonts w:ascii="Arial" w:hAnsi="Arial" w:cs="Arial"/>
          <w:sz w:val="24"/>
          <w:szCs w:val="24"/>
        </w:rPr>
        <w:t xml:space="preserve">La figura de la "buena madre"  se asocia con priorizar las necesidades de </w:t>
      </w:r>
      <w:proofErr w:type="spellStart"/>
      <w:r w:rsidRPr="009A65AD">
        <w:rPr>
          <w:rFonts w:ascii="Arial" w:hAnsi="Arial" w:cs="Arial"/>
          <w:sz w:val="24"/>
          <w:szCs w:val="24"/>
        </w:rPr>
        <w:t>lxs</w:t>
      </w:r>
      <w:proofErr w:type="spellEnd"/>
      <w:r w:rsidRPr="009A65AD">
        <w:rPr>
          <w:rFonts w:ascii="Arial" w:hAnsi="Arial" w:cs="Arial"/>
          <w:sz w:val="24"/>
          <w:szCs w:val="24"/>
        </w:rPr>
        <w:t xml:space="preserve"> </w:t>
      </w:r>
      <w:proofErr w:type="spellStart"/>
      <w:r w:rsidRPr="009A65AD">
        <w:rPr>
          <w:rFonts w:ascii="Arial" w:hAnsi="Arial" w:cs="Arial"/>
          <w:sz w:val="24"/>
          <w:szCs w:val="24"/>
        </w:rPr>
        <w:t>hijxs</w:t>
      </w:r>
      <w:proofErr w:type="spellEnd"/>
      <w:r w:rsidRPr="009A65AD">
        <w:rPr>
          <w:rFonts w:ascii="Arial" w:hAnsi="Arial" w:cs="Arial"/>
          <w:sz w:val="24"/>
          <w:szCs w:val="24"/>
        </w:rPr>
        <w:t xml:space="preserve"> por encima de las propias (</w:t>
      </w:r>
      <w:proofErr w:type="spellStart"/>
      <w:r w:rsidRPr="009A65AD">
        <w:rPr>
          <w:rFonts w:ascii="Arial" w:hAnsi="Arial" w:cs="Arial"/>
          <w:sz w:val="24"/>
          <w:szCs w:val="24"/>
        </w:rPr>
        <w:t>Saletti</w:t>
      </w:r>
      <w:proofErr w:type="spellEnd"/>
      <w:r w:rsidRPr="009A65AD">
        <w:rPr>
          <w:rFonts w:ascii="Arial" w:hAnsi="Arial" w:cs="Arial"/>
          <w:sz w:val="24"/>
          <w:szCs w:val="24"/>
        </w:rPr>
        <w:t xml:space="preserve"> Cuesta, S/F). Este ideal normativo, presente en los discursos institucionales y sociales, coloca a las mujeres en desventaja al buscar </w:t>
      </w:r>
      <w:r w:rsidRPr="009A65AD">
        <w:rPr>
          <w:rFonts w:ascii="Arial" w:hAnsi="Arial" w:cs="Arial"/>
          <w:sz w:val="24"/>
          <w:szCs w:val="24"/>
        </w:rPr>
        <w:lastRenderedPageBreak/>
        <w:t xml:space="preserve">tratamiento, debido al temor del fracaso de su rol y al rechazo social. Cuidar de las demás personas se convierte en un pilar básico de la socialización de las mujeres, provocando que ese rol se constituya en un eje fundamental de la identidad asociada a lo femenino, y por tanto como una cuestión propia y natural en las mujeres (Valladares, 1994).  Lo que genera una fuerte barrera para las mujeres con responsabilidades familiares, especialmente debido a la falta de flexibilidad en los programas de tratamiento, la escasez de servicios de guardería y la inadecuación de los tratamientos residenciales para madres con hijos menores. Además, la amenaza de perder la custodia a </w:t>
      </w:r>
      <w:proofErr w:type="spellStart"/>
      <w:r w:rsidRPr="009A65AD">
        <w:rPr>
          <w:rFonts w:ascii="Arial" w:hAnsi="Arial" w:cs="Arial"/>
          <w:sz w:val="24"/>
          <w:szCs w:val="24"/>
        </w:rPr>
        <w:t>lxs</w:t>
      </w:r>
      <w:proofErr w:type="spellEnd"/>
      <w:r w:rsidRPr="009A65AD">
        <w:rPr>
          <w:rFonts w:ascii="Arial" w:hAnsi="Arial" w:cs="Arial"/>
          <w:sz w:val="24"/>
          <w:szCs w:val="24"/>
        </w:rPr>
        <w:t xml:space="preserve"> </w:t>
      </w:r>
      <w:proofErr w:type="spellStart"/>
      <w:r w:rsidRPr="009A65AD">
        <w:rPr>
          <w:rFonts w:ascii="Arial" w:hAnsi="Arial" w:cs="Arial"/>
          <w:sz w:val="24"/>
          <w:szCs w:val="24"/>
        </w:rPr>
        <w:t>hijxs</w:t>
      </w:r>
      <w:proofErr w:type="spellEnd"/>
      <w:r w:rsidRPr="009A65AD">
        <w:rPr>
          <w:rFonts w:ascii="Arial" w:hAnsi="Arial" w:cs="Arial"/>
          <w:sz w:val="24"/>
          <w:szCs w:val="24"/>
        </w:rPr>
        <w:t xml:space="preserve"> opera como un factor disuasorio al momento de solicitar ayuda.</w:t>
      </w:r>
    </w:p>
    <w:p w14:paraId="65F93968" w14:textId="77777777" w:rsidR="009A65AD" w:rsidRDefault="009A65AD"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9A65AD">
        <w:rPr>
          <w:rFonts w:ascii="Arial" w:hAnsi="Arial" w:cs="Arial"/>
          <w:color w:val="000000"/>
          <w:sz w:val="24"/>
          <w:szCs w:val="24"/>
        </w:rPr>
        <w:t xml:space="preserve">En contraposición, los hombres suelen cuestionar su rol de paterno más adelante en el proceso de tratamiento, mientras las mujeres enfrentan esta carga desde el inicio, lo que en muchos casos puede llevarlas a abandonar el tratamiento. Según </w:t>
      </w:r>
      <w:proofErr w:type="spellStart"/>
      <w:r w:rsidRPr="009A65AD">
        <w:rPr>
          <w:rFonts w:ascii="Arial" w:hAnsi="Arial" w:cs="Arial"/>
          <w:color w:val="000000"/>
          <w:sz w:val="24"/>
          <w:szCs w:val="24"/>
        </w:rPr>
        <w:t>Cócola</w:t>
      </w:r>
      <w:proofErr w:type="spellEnd"/>
      <w:r w:rsidRPr="009A65AD">
        <w:rPr>
          <w:rFonts w:ascii="Arial" w:hAnsi="Arial" w:cs="Arial"/>
          <w:color w:val="000000"/>
          <w:sz w:val="24"/>
          <w:szCs w:val="24"/>
        </w:rPr>
        <w:t xml:space="preserve"> (2018), las mujeres tienden a asumir un rol más intenso en el cuidado de familiares con consumo problemático, en contraste con la postura distante o punitiva adoptada por los hombres. Estas dinámicas  impactan significativamente en la salud mental y el bienestar de las mujeres.</w:t>
      </w:r>
    </w:p>
    <w:p w14:paraId="251C47C3"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
    <w:p w14:paraId="48F9DCC8" w14:textId="77777777" w:rsidR="009A65AD"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rPr>
      </w:pPr>
      <w:r>
        <w:rPr>
          <w:rFonts w:ascii="Arial" w:hAnsi="Arial" w:cs="Arial"/>
          <w:b/>
          <w:bCs/>
          <w:color w:val="000000"/>
        </w:rPr>
        <w:t>Dependencia emocional y relaciones a</w:t>
      </w:r>
      <w:r w:rsidR="009A65AD">
        <w:rPr>
          <w:rFonts w:ascii="Arial" w:hAnsi="Arial" w:cs="Arial"/>
          <w:b/>
          <w:bCs/>
          <w:color w:val="000000"/>
        </w:rPr>
        <w:t>simétricas</w:t>
      </w:r>
    </w:p>
    <w:p w14:paraId="3497AF70"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En las experiencias clínicas en los dispositivos parece insistir el común denominador que en las relaciones de pareja, las mujeres tienden a desarrollar una fuerte dependencia afectiva, lo que puede llevar a un consumo compartido de sustancias en busca de cercanía y aprobación, y la opinión y apoyo de su pareja son fundamentales para superar la adicción y acceder a tratamiento.</w:t>
      </w:r>
    </w:p>
    <w:p w14:paraId="3A3219CE"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
    <w:p w14:paraId="2F14BD91"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Pr>
          <w:rFonts w:ascii="Arial" w:hAnsi="Arial" w:cs="Arial"/>
          <w:b/>
          <w:bCs/>
          <w:color w:val="000000"/>
          <w:sz w:val="24"/>
          <w:szCs w:val="24"/>
        </w:rPr>
        <w:t>Estereotipos de masculinidad h</w:t>
      </w:r>
      <w:r w:rsidRPr="00F444C4">
        <w:rPr>
          <w:rFonts w:ascii="Arial" w:hAnsi="Arial" w:cs="Arial"/>
          <w:b/>
          <w:bCs/>
          <w:color w:val="000000"/>
          <w:sz w:val="24"/>
          <w:szCs w:val="24"/>
        </w:rPr>
        <w:t>egemónica</w:t>
      </w:r>
    </w:p>
    <w:p w14:paraId="49B93353"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 xml:space="preserve">La masculinidad hegemónica se construye en oposición a lo femenino, y reúne una serie de significados que van variando a lo largo del tiempo y configuran en relación a </w:t>
      </w:r>
      <w:proofErr w:type="spellStart"/>
      <w:r w:rsidRPr="00F444C4">
        <w:rPr>
          <w:rFonts w:ascii="Arial" w:hAnsi="Arial" w:cs="Arial"/>
          <w:color w:val="000000"/>
          <w:sz w:val="24"/>
          <w:szCs w:val="24"/>
        </w:rPr>
        <w:t>otrxs</w:t>
      </w:r>
      <w:proofErr w:type="spellEnd"/>
      <w:r w:rsidRPr="00F444C4">
        <w:rPr>
          <w:rFonts w:ascii="Arial" w:hAnsi="Arial" w:cs="Arial"/>
          <w:color w:val="000000"/>
          <w:sz w:val="24"/>
          <w:szCs w:val="24"/>
        </w:rPr>
        <w:t xml:space="preserve">. Está compuesta por prácticas en las cuales se afianza una relación de poder jerarquizada respecto de las mujeres y otras identidades. Según Ana Amuchástegui e </w:t>
      </w:r>
      <w:proofErr w:type="spellStart"/>
      <w:r w:rsidRPr="00F444C4">
        <w:rPr>
          <w:rFonts w:ascii="Arial" w:hAnsi="Arial" w:cs="Arial"/>
          <w:color w:val="000000"/>
          <w:sz w:val="24"/>
          <w:szCs w:val="24"/>
        </w:rPr>
        <w:t>Ivvone</w:t>
      </w:r>
      <w:proofErr w:type="spellEnd"/>
      <w:r w:rsidRPr="00F444C4">
        <w:rPr>
          <w:rFonts w:ascii="Arial" w:hAnsi="Arial" w:cs="Arial"/>
          <w:color w:val="000000"/>
          <w:sz w:val="24"/>
          <w:szCs w:val="24"/>
        </w:rPr>
        <w:t xml:space="preserve"> </w:t>
      </w:r>
      <w:proofErr w:type="spellStart"/>
      <w:r w:rsidRPr="00F444C4">
        <w:rPr>
          <w:rFonts w:ascii="Arial" w:hAnsi="Arial" w:cs="Arial"/>
          <w:color w:val="000000"/>
          <w:sz w:val="24"/>
          <w:szCs w:val="24"/>
        </w:rPr>
        <w:t>Szasz</w:t>
      </w:r>
      <w:proofErr w:type="spellEnd"/>
      <w:r w:rsidRPr="00F444C4">
        <w:rPr>
          <w:rFonts w:ascii="Arial" w:hAnsi="Arial" w:cs="Arial"/>
          <w:color w:val="000000"/>
          <w:sz w:val="24"/>
          <w:szCs w:val="24"/>
        </w:rPr>
        <w:t xml:space="preserve">, trabajar sobre el concepto de género, es decir, pensar que la masculinidad no es sinónimo de hombres, sino de proceso social, estructura, cultura y subjetividad. No se trata de la expresión espontánea de los cuerpos masculinos, </w:t>
      </w:r>
      <w:r w:rsidRPr="00F444C4">
        <w:rPr>
          <w:rFonts w:ascii="Arial" w:hAnsi="Arial" w:cs="Arial"/>
          <w:color w:val="000000"/>
          <w:sz w:val="24"/>
          <w:szCs w:val="24"/>
        </w:rPr>
        <w:lastRenderedPageBreak/>
        <w:t>sino de cómo tales cuerpos encarnan prácticas de género presentes en el tejido social (2007: 16).</w:t>
      </w:r>
    </w:p>
    <w:p w14:paraId="60F2D436"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 xml:space="preserve">Se  espera que ellos no se muestren vulnerables, que no asuman tareas de autocuidado, es decir, que su socialización primaria les inhibe el registro de sus propios malestares. Por lo general los varones llegan a los servicios de salud con problemas que ya son muy evidentes, con cuadros muy avanzados que a veces hacen que tengan mayor dificultad los tratamientos. Y la socialización de actos atravesados por la violencia, la posición frente a los cuidados, la inhibición de todo lo que tiene que ver con lo emocional, comenzando un trabajo en principio de </w:t>
      </w:r>
      <w:proofErr w:type="spellStart"/>
      <w:r w:rsidRPr="00F444C4">
        <w:rPr>
          <w:rFonts w:ascii="Arial" w:hAnsi="Arial" w:cs="Arial"/>
          <w:color w:val="000000"/>
          <w:sz w:val="24"/>
          <w:szCs w:val="24"/>
        </w:rPr>
        <w:t>psicoeducación</w:t>
      </w:r>
      <w:proofErr w:type="spellEnd"/>
      <w:r w:rsidRPr="00F444C4">
        <w:rPr>
          <w:rFonts w:ascii="Arial" w:hAnsi="Arial" w:cs="Arial"/>
          <w:color w:val="000000"/>
          <w:sz w:val="24"/>
          <w:szCs w:val="24"/>
        </w:rPr>
        <w:t xml:space="preserve"> para comenzar a entender y comprender su propia emocionalidad, apuntar a la vulnerabilidad y comenzar a </w:t>
      </w:r>
      <w:proofErr w:type="spellStart"/>
      <w:r w:rsidRPr="00F444C4">
        <w:rPr>
          <w:rFonts w:ascii="Arial" w:hAnsi="Arial" w:cs="Arial"/>
          <w:color w:val="000000"/>
          <w:sz w:val="24"/>
          <w:szCs w:val="24"/>
        </w:rPr>
        <w:t>deconstruir</w:t>
      </w:r>
      <w:proofErr w:type="spellEnd"/>
      <w:r w:rsidRPr="00F444C4">
        <w:rPr>
          <w:rFonts w:ascii="Arial" w:hAnsi="Arial" w:cs="Arial"/>
          <w:color w:val="000000"/>
          <w:sz w:val="24"/>
          <w:szCs w:val="24"/>
        </w:rPr>
        <w:t xml:space="preserve"> lo que es llamado “fuerza”; lo cual genera incomodidad porque implica perder el lugar de privilegio.</w:t>
      </w:r>
    </w:p>
    <w:p w14:paraId="5EC40C62" w14:textId="77777777" w:rsidR="00F444C4"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color w:val="000000"/>
          <w:sz w:val="24"/>
          <w:szCs w:val="24"/>
        </w:rPr>
      </w:pPr>
    </w:p>
    <w:p w14:paraId="221BF39B"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sidRPr="00F444C4">
        <w:rPr>
          <w:rFonts w:ascii="Arial" w:hAnsi="Arial" w:cs="Arial"/>
          <w:b/>
          <w:bCs/>
          <w:color w:val="000000"/>
          <w:sz w:val="24"/>
          <w:szCs w:val="24"/>
        </w:rPr>
        <w:t>Conclusión: Reflexiones y propuestas de trabajo futuro</w:t>
      </w:r>
    </w:p>
    <w:p w14:paraId="255D3948"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sz w:val="24"/>
          <w:szCs w:val="24"/>
        </w:rPr>
      </w:pPr>
      <w:r w:rsidRPr="00F444C4">
        <w:rPr>
          <w:rFonts w:ascii="Arial" w:hAnsi="Arial" w:cs="Arial"/>
          <w:bCs/>
          <w:sz w:val="24"/>
          <w:szCs w:val="24"/>
        </w:rPr>
        <w:t>Si bien</w:t>
      </w:r>
      <w:r w:rsidRPr="00F444C4">
        <w:rPr>
          <w:rFonts w:ascii="Arial" w:hAnsi="Arial" w:cs="Arial"/>
          <w:b/>
          <w:bCs/>
          <w:sz w:val="24"/>
          <w:szCs w:val="24"/>
        </w:rPr>
        <w:t xml:space="preserve"> </w:t>
      </w:r>
      <w:r w:rsidRPr="00F444C4">
        <w:rPr>
          <w:rFonts w:ascii="Arial" w:hAnsi="Arial" w:cs="Arial"/>
          <w:sz w:val="24"/>
          <w:szCs w:val="24"/>
        </w:rPr>
        <w:t>el consumo problemático es una problemática instalada en todas las clases sociales, no afecta de igual manera y la cuestión de género no queda por fuera de esta diferencia</w:t>
      </w:r>
      <w:r>
        <w:rPr>
          <w:rFonts w:ascii="Arial" w:hAnsi="Arial" w:cs="Arial"/>
          <w:sz w:val="24"/>
          <w:szCs w:val="24"/>
        </w:rPr>
        <w:t>.</w:t>
      </w:r>
    </w:p>
    <w:p w14:paraId="046B4CF0"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Es fundamental abordar las necesidades específicas de las mujeres con adicción, promoviendo la corresponsabilidad y fomentar un enfoque de género en la atención. La escasez de material e investigación en esta área subraya la necesidad de seguir escribiendo  y generando intercambios sobre esta temática.</w:t>
      </w:r>
    </w:p>
    <w:p w14:paraId="23733522"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sidRPr="00F444C4">
        <w:rPr>
          <w:rFonts w:ascii="Arial" w:hAnsi="Arial" w:cs="Arial"/>
          <w:b/>
          <w:bCs/>
          <w:color w:val="000000"/>
          <w:sz w:val="24"/>
          <w:szCs w:val="24"/>
          <w:u w:val="single"/>
        </w:rPr>
        <w:t>Objetivos</w:t>
      </w:r>
      <w:r w:rsidRPr="00F444C4">
        <w:rPr>
          <w:rFonts w:ascii="Arial" w:hAnsi="Arial" w:cs="Arial"/>
          <w:b/>
          <w:bCs/>
          <w:color w:val="000000"/>
          <w:sz w:val="24"/>
          <w:szCs w:val="24"/>
        </w:rPr>
        <w:t>:</w:t>
      </w:r>
    </w:p>
    <w:p w14:paraId="15CA17B2"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Incorporar la perspectiva de género en la atención a la salud mental</w:t>
      </w:r>
      <w:r>
        <w:rPr>
          <w:rFonts w:ascii="Arial" w:hAnsi="Arial" w:cs="Arial"/>
          <w:color w:val="000000"/>
          <w:sz w:val="24"/>
          <w:szCs w:val="24"/>
        </w:rPr>
        <w:t>.</w:t>
      </w:r>
    </w:p>
    <w:p w14:paraId="04FBBFF0"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Abordar las necesidades específicas de las mujeres con adicciones.</w:t>
      </w:r>
    </w:p>
    <w:p w14:paraId="48FF1D79"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 xml:space="preserve">Promover la corresponsabilidad en la crianza de los </w:t>
      </w:r>
      <w:proofErr w:type="spellStart"/>
      <w:r w:rsidRPr="00F444C4">
        <w:rPr>
          <w:rFonts w:ascii="Arial" w:hAnsi="Arial" w:cs="Arial"/>
          <w:color w:val="000000"/>
          <w:sz w:val="24"/>
          <w:szCs w:val="24"/>
        </w:rPr>
        <w:t>hijxs</w:t>
      </w:r>
      <w:proofErr w:type="spellEnd"/>
      <w:r w:rsidRPr="00F444C4">
        <w:rPr>
          <w:rFonts w:ascii="Arial" w:hAnsi="Arial" w:cs="Arial"/>
          <w:color w:val="000000"/>
          <w:sz w:val="24"/>
          <w:szCs w:val="24"/>
        </w:rPr>
        <w:t>.</w:t>
      </w:r>
    </w:p>
    <w:p w14:paraId="7E1A8923"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sidRPr="00F444C4">
        <w:rPr>
          <w:rFonts w:ascii="Arial" w:hAnsi="Arial" w:cs="Arial"/>
          <w:b/>
          <w:bCs/>
          <w:color w:val="000000"/>
          <w:sz w:val="24"/>
          <w:szCs w:val="24"/>
          <w:u w:val="single"/>
        </w:rPr>
        <w:t>A corto plazo</w:t>
      </w:r>
      <w:r w:rsidRPr="00F444C4">
        <w:rPr>
          <w:rFonts w:ascii="Arial" w:hAnsi="Arial" w:cs="Arial"/>
          <w:b/>
          <w:bCs/>
          <w:color w:val="000000"/>
          <w:sz w:val="24"/>
          <w:szCs w:val="24"/>
        </w:rPr>
        <w:t>:</w:t>
      </w:r>
    </w:p>
    <w:p w14:paraId="5B0C1047"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 xml:space="preserve">Habilitar recursos específicos para mujeres adictas con </w:t>
      </w:r>
      <w:proofErr w:type="spellStart"/>
      <w:r w:rsidRPr="00F444C4">
        <w:rPr>
          <w:rFonts w:ascii="Arial" w:hAnsi="Arial" w:cs="Arial"/>
          <w:color w:val="000000"/>
          <w:sz w:val="24"/>
          <w:szCs w:val="24"/>
        </w:rPr>
        <w:t>hijxs</w:t>
      </w:r>
      <w:proofErr w:type="spellEnd"/>
      <w:r w:rsidRPr="00F444C4">
        <w:rPr>
          <w:rFonts w:ascii="Arial" w:hAnsi="Arial" w:cs="Arial"/>
          <w:color w:val="000000"/>
          <w:sz w:val="24"/>
          <w:szCs w:val="24"/>
        </w:rPr>
        <w:t>.</w:t>
      </w:r>
    </w:p>
    <w:p w14:paraId="78D96AB3"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Desarrollar intervenciones de pareja en centros ambulatorios.</w:t>
      </w:r>
    </w:p>
    <w:p w14:paraId="47DF5F58"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Generar espacios que apunten al cumplimiento de los derechos de la comunidad LGBTQ+.</w:t>
      </w:r>
    </w:p>
    <w:p w14:paraId="5F5998A5"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u w:val="single"/>
        </w:rPr>
      </w:pPr>
      <w:r w:rsidRPr="00F444C4">
        <w:rPr>
          <w:rFonts w:ascii="Arial" w:hAnsi="Arial" w:cs="Arial"/>
          <w:b/>
          <w:bCs/>
          <w:color w:val="000000"/>
          <w:sz w:val="24"/>
          <w:szCs w:val="24"/>
          <w:u w:val="single"/>
        </w:rPr>
        <w:t>A largo plazo:</w:t>
      </w:r>
    </w:p>
    <w:p w14:paraId="0B41DE71"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 xml:space="preserve">Formación y capacitación en perspectiva de género para profesionales y trabajadores del ámbito. </w:t>
      </w:r>
      <w:proofErr w:type="spellStart"/>
      <w:r w:rsidRPr="00F444C4">
        <w:rPr>
          <w:rFonts w:ascii="Arial" w:hAnsi="Arial" w:cs="Arial"/>
          <w:color w:val="000000"/>
          <w:sz w:val="24"/>
          <w:szCs w:val="24"/>
        </w:rPr>
        <w:t>Transversalización</w:t>
      </w:r>
      <w:proofErr w:type="spellEnd"/>
      <w:r w:rsidRPr="00F444C4">
        <w:rPr>
          <w:rFonts w:ascii="Arial" w:hAnsi="Arial" w:cs="Arial"/>
          <w:color w:val="000000"/>
          <w:sz w:val="24"/>
          <w:szCs w:val="24"/>
        </w:rPr>
        <w:t xml:space="preserve"> de la perspectiva de género en las </w:t>
      </w:r>
      <w:r w:rsidRPr="00F444C4">
        <w:rPr>
          <w:rFonts w:ascii="Arial" w:hAnsi="Arial" w:cs="Arial"/>
          <w:color w:val="000000"/>
          <w:sz w:val="24"/>
          <w:szCs w:val="24"/>
        </w:rPr>
        <w:lastRenderedPageBreak/>
        <w:t>acciones.</w:t>
      </w:r>
    </w:p>
    <w:p w14:paraId="78FF491F"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Revisión integral de protocolos y programas de inserción socio-laboral.</w:t>
      </w:r>
    </w:p>
    <w:p w14:paraId="74A533AD" w14:textId="77777777" w:rsidR="00F444C4"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Fomentar la investigación y el desarrollo de herramientas terapéuticas diversas con un abordaje integral y con perspectiva de género.</w:t>
      </w:r>
    </w:p>
    <w:p w14:paraId="00BC7900" w14:textId="77777777" w:rsidR="00F444C4"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b/>
          <w:bCs/>
          <w:color w:val="000000"/>
          <w:sz w:val="24"/>
          <w:szCs w:val="24"/>
        </w:rPr>
      </w:pPr>
      <w:r w:rsidRPr="00F444C4">
        <w:rPr>
          <w:rFonts w:ascii="Arial" w:hAnsi="Arial" w:cs="Arial"/>
          <w:b/>
          <w:bCs/>
          <w:color w:val="000000"/>
          <w:sz w:val="24"/>
          <w:szCs w:val="24"/>
          <w:u w:val="single"/>
        </w:rPr>
        <w:t>Desafíos</w:t>
      </w:r>
      <w:r w:rsidRPr="00F444C4">
        <w:rPr>
          <w:rFonts w:ascii="Arial" w:hAnsi="Arial" w:cs="Arial"/>
          <w:b/>
          <w:bCs/>
          <w:color w:val="000000"/>
          <w:sz w:val="24"/>
          <w:szCs w:val="24"/>
        </w:rPr>
        <w:t>:</w:t>
      </w:r>
    </w:p>
    <w:p w14:paraId="597A9FEF" w14:textId="77777777" w:rsidR="00F444C4"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Voluntad política para impulsar el cambio y sensibilización sobre relaciones de poder asimétricas.</w:t>
      </w:r>
    </w:p>
    <w:p w14:paraId="505670BC" w14:textId="77777777" w:rsid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F444C4">
        <w:rPr>
          <w:rFonts w:ascii="Arial" w:hAnsi="Arial" w:cs="Arial"/>
          <w:color w:val="000000"/>
          <w:sz w:val="24"/>
          <w:szCs w:val="24"/>
        </w:rPr>
        <w:t>Superar las barreras estructurales y sociales.</w:t>
      </w:r>
    </w:p>
    <w:p w14:paraId="1F2FCA98" w14:textId="77777777" w:rsidR="00F444C4" w:rsidRPr="00F444C4" w:rsidRDefault="00F444C4" w:rsidP="00642044">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sectPr w:rsidR="00F444C4" w:rsidRPr="00F444C4" w:rsidSect="009D55A9">
          <w:pgSz w:w="11906" w:h="16838" w:code="9"/>
          <w:pgMar w:top="1418" w:right="1418" w:bottom="1418" w:left="1418" w:header="1418" w:footer="709" w:gutter="0"/>
          <w:cols w:space="720"/>
        </w:sectPr>
      </w:pPr>
      <w:r w:rsidRPr="00F444C4">
        <w:rPr>
          <w:rFonts w:ascii="Arial" w:hAnsi="Arial" w:cs="Arial"/>
          <w:color w:val="000000"/>
          <w:sz w:val="24"/>
          <w:szCs w:val="24"/>
        </w:rPr>
        <w:t>Involucrar al sector  privado y la sociedad civil en el proceso de cambio.</w:t>
      </w:r>
    </w:p>
    <w:p w14:paraId="077BEB16" w14:textId="77777777" w:rsidR="0054661E" w:rsidRPr="001174DF" w:rsidRDefault="0054661E" w:rsidP="00B747F3">
      <w:pPr>
        <w:widowControl w:val="0"/>
        <w:spacing w:after="0" w:line="360" w:lineRule="auto"/>
        <w:rPr>
          <w:rFonts w:ascii="Arial" w:eastAsia="Arial" w:hAnsi="Arial" w:cs="Arial"/>
          <w:color w:val="000000"/>
          <w:sz w:val="24"/>
          <w:szCs w:val="24"/>
        </w:rPr>
      </w:pPr>
    </w:p>
    <w:p w14:paraId="37F65182" w14:textId="77777777" w:rsidR="0054661E" w:rsidRDefault="0054661E"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sidRPr="001174DF">
        <w:rPr>
          <w:rFonts w:ascii="Arial" w:eastAsia="Arial" w:hAnsi="Arial" w:cs="Arial"/>
          <w:color w:val="000000"/>
          <w:sz w:val="24"/>
          <w:szCs w:val="24"/>
        </w:rPr>
        <w:t>Bibliografía:</w:t>
      </w:r>
    </w:p>
    <w:p w14:paraId="7FA1A9A3" w14:textId="77777777" w:rsidR="00F444C4"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1820C1">
        <w:rPr>
          <w:rFonts w:ascii="Arial" w:hAnsi="Arial" w:cs="Arial"/>
          <w:color w:val="000000"/>
          <w:sz w:val="24"/>
          <w:szCs w:val="24"/>
        </w:rPr>
        <w:t>Amuchástegui Herrera, Ana. "La navaja de dos filos: una reflexión acerca de la investigación y el trabajo sobre hombres y masculinidades en México", en Revista de estudios de género. La ventana, núm. 14. Guadalajara: Universidad de Guadalajara, 2001.</w:t>
      </w:r>
    </w:p>
    <w:p w14:paraId="77F5C201" w14:textId="77777777" w:rsidR="001820C1"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r w:rsidRPr="001820C1">
        <w:rPr>
          <w:rFonts w:ascii="Arial" w:hAnsi="Arial" w:cs="Arial"/>
          <w:color w:val="000000"/>
          <w:sz w:val="24"/>
          <w:szCs w:val="24"/>
        </w:rPr>
        <w:t>Butler, J. (1990).El género en disputa: El feminismo y la subversión a la identidad. Paidós.</w:t>
      </w:r>
    </w:p>
    <w:p w14:paraId="2A20A0DE" w14:textId="77777777" w:rsidR="001820C1"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roofErr w:type="spellStart"/>
      <w:r w:rsidRPr="001820C1">
        <w:rPr>
          <w:rFonts w:ascii="Arial" w:hAnsi="Arial" w:cs="Arial"/>
          <w:color w:val="000000"/>
          <w:sz w:val="24"/>
          <w:szCs w:val="24"/>
        </w:rPr>
        <w:t>Cancrini</w:t>
      </w:r>
      <w:proofErr w:type="spellEnd"/>
      <w:r w:rsidRPr="001820C1">
        <w:rPr>
          <w:rFonts w:ascii="Arial" w:hAnsi="Arial" w:cs="Arial"/>
          <w:color w:val="000000"/>
          <w:sz w:val="24"/>
          <w:szCs w:val="24"/>
        </w:rPr>
        <w:t xml:space="preserve">, L. (1987). Hacia una tipología de las </w:t>
      </w:r>
      <w:proofErr w:type="spellStart"/>
      <w:r w:rsidRPr="001820C1">
        <w:rPr>
          <w:rFonts w:ascii="Arial" w:hAnsi="Arial" w:cs="Arial"/>
          <w:color w:val="000000"/>
          <w:sz w:val="24"/>
          <w:szCs w:val="24"/>
        </w:rPr>
        <w:t>tóxicodependencias</w:t>
      </w:r>
      <w:proofErr w:type="spellEnd"/>
      <w:r w:rsidRPr="001820C1">
        <w:rPr>
          <w:rFonts w:ascii="Arial" w:hAnsi="Arial" w:cs="Arial"/>
          <w:color w:val="000000"/>
          <w:sz w:val="24"/>
          <w:szCs w:val="24"/>
        </w:rPr>
        <w:t>. En Comunidad y Drogas. (1,45-57). Madrid: Ministerio de Sanidad y Consumo.</w:t>
      </w:r>
    </w:p>
    <w:p w14:paraId="40C82BE8" w14:textId="77777777" w:rsidR="001820C1"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roofErr w:type="spellStart"/>
      <w:r w:rsidRPr="001820C1">
        <w:rPr>
          <w:rFonts w:ascii="Arial" w:hAnsi="Arial" w:cs="Arial"/>
          <w:color w:val="000000"/>
          <w:sz w:val="24"/>
          <w:szCs w:val="24"/>
        </w:rPr>
        <w:t>Cócola</w:t>
      </w:r>
      <w:proofErr w:type="spellEnd"/>
      <w:r w:rsidRPr="001820C1">
        <w:rPr>
          <w:rFonts w:ascii="Arial" w:hAnsi="Arial" w:cs="Arial"/>
          <w:color w:val="000000"/>
          <w:sz w:val="24"/>
          <w:szCs w:val="24"/>
        </w:rPr>
        <w:t xml:space="preserve">, F. (2018). Funcionamiento familiar y abordaje de los trastornos por el uso de sustancias: una revisión sistémica y una necesidad de actualización. Redes, (38), 47-64. </w:t>
      </w:r>
      <w:hyperlink r:id="rId10" w:history="1">
        <w:r w:rsidRPr="00061F4A">
          <w:rPr>
            <w:rStyle w:val="Hipervnculo"/>
            <w:rFonts w:ascii="Arial" w:hAnsi="Arial" w:cs="Arial"/>
            <w:sz w:val="24"/>
            <w:szCs w:val="24"/>
          </w:rPr>
          <w:t>http://redesdigital.com.mx/index.php/redes/article/view/249/6783440</w:t>
        </w:r>
      </w:hyperlink>
      <w:r w:rsidRPr="001820C1">
        <w:rPr>
          <w:rFonts w:ascii="Arial" w:hAnsi="Arial" w:cs="Arial"/>
          <w:color w:val="000000"/>
          <w:sz w:val="24"/>
          <w:szCs w:val="24"/>
        </w:rPr>
        <w:t>.</w:t>
      </w:r>
    </w:p>
    <w:p w14:paraId="5A493327" w14:textId="77777777" w:rsidR="001820C1"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hAnsi="Arial" w:cs="Arial"/>
          <w:color w:val="000000"/>
          <w:sz w:val="24"/>
          <w:szCs w:val="24"/>
        </w:rPr>
      </w:pPr>
      <w:proofErr w:type="spellStart"/>
      <w:r w:rsidRPr="001820C1">
        <w:rPr>
          <w:rFonts w:ascii="Arial" w:hAnsi="Arial" w:cs="Arial"/>
          <w:color w:val="000000"/>
          <w:sz w:val="24"/>
          <w:szCs w:val="24"/>
        </w:rPr>
        <w:t>Saletti</w:t>
      </w:r>
      <w:proofErr w:type="spellEnd"/>
      <w:r w:rsidRPr="001820C1">
        <w:rPr>
          <w:rFonts w:ascii="Arial" w:hAnsi="Arial" w:cs="Arial"/>
          <w:color w:val="000000"/>
          <w:sz w:val="24"/>
          <w:szCs w:val="24"/>
        </w:rPr>
        <w:t xml:space="preserve"> Cuesta (S/F). Propuestas teóricas feministas en relación al concepto de maternidad</w:t>
      </w:r>
    </w:p>
    <w:p w14:paraId="453C5122" w14:textId="77777777" w:rsidR="001820C1" w:rsidRPr="001820C1" w:rsidRDefault="001820C1"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r w:rsidRPr="001820C1">
        <w:rPr>
          <w:rFonts w:ascii="Arial" w:hAnsi="Arial" w:cs="Arial"/>
          <w:color w:val="000000"/>
          <w:sz w:val="24"/>
          <w:szCs w:val="24"/>
        </w:rPr>
        <w:t>Valladares, B. (1994). Revisión teórica sobre los mitos de la maternidad. Rev. Ciencias Sociales. Volumen (65) 67-74.Universidad de Costa Rica. San José.</w:t>
      </w:r>
    </w:p>
    <w:p w14:paraId="360169C2" w14:textId="77777777" w:rsidR="00AA52FC" w:rsidRPr="001174DF" w:rsidRDefault="00AA52FC" w:rsidP="00B747F3">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color w:val="000000"/>
          <w:sz w:val="24"/>
          <w:szCs w:val="24"/>
        </w:rPr>
      </w:pPr>
    </w:p>
    <w:sectPr w:rsidR="00AA52FC" w:rsidRPr="001174DF" w:rsidSect="00105DD5">
      <w:type w:val="continuous"/>
      <w:pgSz w:w="11906" w:h="16838" w:code="9"/>
      <w:pgMar w:top="1418" w:right="1418" w:bottom="1418" w:left="1418" w:header="1418"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7D8B4" w14:textId="77777777" w:rsidR="009D242A" w:rsidRDefault="009D242A">
      <w:pPr>
        <w:spacing w:after="0" w:line="240" w:lineRule="auto"/>
      </w:pPr>
      <w:r>
        <w:separator/>
      </w:r>
    </w:p>
  </w:endnote>
  <w:endnote w:type="continuationSeparator" w:id="0">
    <w:p w14:paraId="7D5711AA" w14:textId="77777777" w:rsidR="009D242A" w:rsidRDefault="009D2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584DE" w14:textId="77777777" w:rsidR="00AA52FC" w:rsidRDefault="009D55A9" w:rsidP="009D55A9">
    <w:pPr>
      <w:pStyle w:val="Piedepgina"/>
      <w:jc w:val="right"/>
    </w:pPr>
    <w:r w:rsidRPr="009D55A9">
      <w:rPr>
        <w:lang w:val="es-ES"/>
      </w:rPr>
      <w:fldChar w:fldCharType="begin"/>
    </w:r>
    <w:r w:rsidRPr="009D55A9">
      <w:rPr>
        <w:lang w:val="es-ES"/>
      </w:rPr>
      <w:instrText>PAGE   \* MERGEFORMAT</w:instrText>
    </w:r>
    <w:r w:rsidRPr="009D55A9">
      <w:rPr>
        <w:lang w:val="es-ES"/>
      </w:rPr>
      <w:fldChar w:fldCharType="separate"/>
    </w:r>
    <w:r w:rsidR="001820C1">
      <w:rPr>
        <w:noProof/>
        <w:lang w:val="es-ES"/>
      </w:rPr>
      <w:t>7</w:t>
    </w:r>
    <w:r w:rsidRPr="009D55A9">
      <w:rPr>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663B4" w14:textId="77777777" w:rsidR="009D242A" w:rsidRDefault="009D242A">
      <w:pPr>
        <w:spacing w:after="0" w:line="240" w:lineRule="auto"/>
      </w:pPr>
      <w:r>
        <w:separator/>
      </w:r>
    </w:p>
  </w:footnote>
  <w:footnote w:type="continuationSeparator" w:id="0">
    <w:p w14:paraId="097FDB67" w14:textId="77777777" w:rsidR="009D242A" w:rsidRDefault="009D2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D3519" w14:textId="77777777" w:rsidR="002459DA" w:rsidRDefault="00591829">
    <w:pPr>
      <w:pStyle w:val="Encabezado"/>
    </w:pPr>
    <w:r w:rsidRPr="002459DA">
      <w:rPr>
        <w:noProof/>
      </w:rPr>
      <mc:AlternateContent>
        <mc:Choice Requires="wps">
          <w:drawing>
            <wp:anchor distT="0" distB="0" distL="114300" distR="114300" simplePos="0" relativeHeight="251661312" behindDoc="1" locked="0" layoutInCell="1" hidden="0" allowOverlap="1" wp14:anchorId="384B02C1" wp14:editId="30B56AF9">
              <wp:simplePos x="0" y="0"/>
              <wp:positionH relativeFrom="page">
                <wp:posOffset>0</wp:posOffset>
              </wp:positionH>
              <wp:positionV relativeFrom="page">
                <wp:posOffset>0</wp:posOffset>
              </wp:positionV>
              <wp:extent cx="7560000" cy="900000"/>
              <wp:effectExtent l="0" t="0" r="3175" b="0"/>
              <wp:wrapNone/>
              <wp:docPr id="6" name="6 Rectángulo"/>
              <wp:cNvGraphicFramePr/>
              <a:graphic xmlns:a="http://schemas.openxmlformats.org/drawingml/2006/main">
                <a:graphicData uri="http://schemas.microsoft.com/office/word/2010/wordprocessingShape">
                  <wps:wsp>
                    <wps:cNvSpPr/>
                    <wps:spPr>
                      <a:xfrm>
                        <a:off x="0" y="0"/>
                        <a:ext cx="7560000" cy="900000"/>
                      </a:xfrm>
                      <a:prstGeom prst="rect">
                        <a:avLst/>
                      </a:prstGeom>
                      <a:solidFill>
                        <a:srgbClr val="5BC6D0"/>
                      </a:solidFill>
                      <a:ln>
                        <a:noFill/>
                      </a:ln>
                    </wps:spPr>
                    <wps:txbx>
                      <w:txbxContent>
                        <w:p w14:paraId="1661A55C" w14:textId="77777777" w:rsidR="002459DA" w:rsidRDefault="002459DA" w:rsidP="002459DA">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84B02C1" id="6 Rectángulo" o:spid="_x0000_s1027" style="position:absolute;margin-left:0;margin-top:0;width:595.3pt;height:70.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" fillcolor="#5bc6d0" stroked="f">
              <v:textbox inset="2.53958mm,2.53958mm,2.53958mm,2.53958mm">
                <w:txbxContent>
                  <w:p w14:paraId="1661A55C" w14:textId="77777777" w:rsidR="002459DA" w:rsidRDefault="002459DA" w:rsidP="002459DA">
                    <w:pPr>
                      <w:spacing w:after="0" w:line="240" w:lineRule="auto"/>
                      <w:textDirection w:val="btLr"/>
                    </w:pPr>
                  </w:p>
                </w:txbxContent>
              </v:textbox>
              <w10:wrap anchorx="page" anchory="page"/>
            </v:rect>
          </w:pict>
        </mc:Fallback>
      </mc:AlternateContent>
    </w:r>
    <w:r w:rsidR="005F157E" w:rsidRPr="002459DA">
      <w:rPr>
        <w:noProof/>
      </w:rPr>
      <w:drawing>
        <wp:anchor distT="114300" distB="114300" distL="114300" distR="114300" simplePos="0" relativeHeight="251659264" behindDoc="0" locked="0" layoutInCell="1" hidden="0" allowOverlap="1" wp14:anchorId="3AD5A986" wp14:editId="31D55611">
          <wp:simplePos x="0" y="0"/>
          <wp:positionH relativeFrom="page">
            <wp:posOffset>5951220</wp:posOffset>
          </wp:positionH>
          <wp:positionV relativeFrom="page">
            <wp:posOffset>36195</wp:posOffset>
          </wp:positionV>
          <wp:extent cx="853200" cy="828000"/>
          <wp:effectExtent l="0" t="0" r="4445" b="0"/>
          <wp:wrapNone/>
          <wp:docPr id="5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53200" cy="828000"/>
                  </a:xfrm>
                  <a:prstGeom prst="rect">
                    <a:avLst/>
                  </a:prstGeom>
                  <a:ln/>
                </pic:spPr>
              </pic:pic>
            </a:graphicData>
          </a:graphic>
          <wp14:sizeRelH relativeFrom="margin">
            <wp14:pctWidth>0</wp14:pctWidth>
          </wp14:sizeRelH>
          <wp14:sizeRelV relativeFrom="margin">
            <wp14:pctHeight>0</wp14:pctHeight>
          </wp14:sizeRelV>
        </wp:anchor>
      </w:drawing>
    </w:r>
    <w:r w:rsidR="005F157E" w:rsidRPr="002459DA">
      <w:rPr>
        <w:noProof/>
      </w:rPr>
      <w:drawing>
        <wp:anchor distT="114300" distB="114300" distL="114300" distR="114300" simplePos="0" relativeHeight="251660288" behindDoc="0" locked="0" layoutInCell="1" hidden="0" allowOverlap="1" wp14:anchorId="6053A297" wp14:editId="03916196">
          <wp:simplePos x="0" y="0"/>
          <wp:positionH relativeFrom="page">
            <wp:posOffset>370840</wp:posOffset>
          </wp:positionH>
          <wp:positionV relativeFrom="page">
            <wp:posOffset>0</wp:posOffset>
          </wp:positionV>
          <wp:extent cx="1908000" cy="900000"/>
          <wp:effectExtent l="0" t="0" r="0" b="0"/>
          <wp:wrapNone/>
          <wp:docPr id="53"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r="26217"/>
                  <a:stretch>
                    <a:fillRect/>
                  </a:stretch>
                </pic:blipFill>
                <pic:spPr>
                  <a:xfrm>
                    <a:off x="0" y="0"/>
                    <a:ext cx="1908000" cy="9000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460"/>
    <w:multiLevelType w:val="hybridMultilevel"/>
    <w:tmpl w:val="7FF69AA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7B3391B"/>
    <w:multiLevelType w:val="hybridMultilevel"/>
    <w:tmpl w:val="059A5E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678770184">
    <w:abstractNumId w:val="0"/>
  </w:num>
  <w:num w:numId="2" w16cid:durableId="162156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proofState w:spelling="clean"/>
  <w:revisionView w:inkAnnotations="0"/>
  <w:defaultTabStop w:val="720"/>
  <w:hyphenationZone w:val="425"/>
  <w:drawingGridHorizontalSpacing w:val="57"/>
  <w:drawingGridVerticalSpacing w:val="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71486"/>
    <w:rsid w:val="000050B0"/>
    <w:rsid w:val="00013C46"/>
    <w:rsid w:val="00091A91"/>
    <w:rsid w:val="00105DD5"/>
    <w:rsid w:val="001174DF"/>
    <w:rsid w:val="00153D0B"/>
    <w:rsid w:val="001820C1"/>
    <w:rsid w:val="00187E10"/>
    <w:rsid w:val="001E4D20"/>
    <w:rsid w:val="002459DA"/>
    <w:rsid w:val="002913EF"/>
    <w:rsid w:val="00332145"/>
    <w:rsid w:val="0041134A"/>
    <w:rsid w:val="0049392F"/>
    <w:rsid w:val="00495924"/>
    <w:rsid w:val="0054661E"/>
    <w:rsid w:val="00591829"/>
    <w:rsid w:val="005F157E"/>
    <w:rsid w:val="00642044"/>
    <w:rsid w:val="00771486"/>
    <w:rsid w:val="00784DAB"/>
    <w:rsid w:val="007F08A1"/>
    <w:rsid w:val="008315E9"/>
    <w:rsid w:val="008814B5"/>
    <w:rsid w:val="008D426D"/>
    <w:rsid w:val="008F2AE2"/>
    <w:rsid w:val="008F5661"/>
    <w:rsid w:val="0097472A"/>
    <w:rsid w:val="009A65AD"/>
    <w:rsid w:val="009D242A"/>
    <w:rsid w:val="009D55A9"/>
    <w:rsid w:val="009F268C"/>
    <w:rsid w:val="00AA52FC"/>
    <w:rsid w:val="00B00524"/>
    <w:rsid w:val="00B747F3"/>
    <w:rsid w:val="00C65631"/>
    <w:rsid w:val="00D039FC"/>
    <w:rsid w:val="00DA090E"/>
    <w:rsid w:val="00E51869"/>
    <w:rsid w:val="00E87489"/>
    <w:rsid w:val="00EB67CD"/>
    <w:rsid w:val="00F444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9E080"/>
  <w15:docId w15:val="{158C0AA1-D1F9-E54C-8B14-F78313D1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paragraph" w:styleId="Encabezado">
    <w:name w:val="header"/>
    <w:basedOn w:val="Normal"/>
    <w:link w:val="EncabezadoCar"/>
    <w:uiPriority w:val="99"/>
    <w:unhideWhenUsed/>
    <w:rsid w:val="002459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59DA"/>
  </w:style>
  <w:style w:type="paragraph" w:styleId="Piedepgina">
    <w:name w:val="footer"/>
    <w:basedOn w:val="Normal"/>
    <w:link w:val="PiedepginaCar"/>
    <w:uiPriority w:val="99"/>
    <w:unhideWhenUsed/>
    <w:rsid w:val="002459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59DA"/>
  </w:style>
  <w:style w:type="paragraph" w:styleId="Prrafodelista">
    <w:name w:val="List Paragraph"/>
    <w:basedOn w:val="Normal"/>
    <w:uiPriority w:val="34"/>
    <w:qFormat/>
    <w:rsid w:val="00642044"/>
    <w:pPr>
      <w:ind w:left="720"/>
      <w:contextualSpacing/>
    </w:pPr>
  </w:style>
  <w:style w:type="character" w:styleId="Hipervnculo">
    <w:name w:val="Hyperlink"/>
    <w:basedOn w:val="Fuentedeprrafopredeter"/>
    <w:uiPriority w:val="99"/>
    <w:unhideWhenUsed/>
    <w:rsid w:val="001820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032836">
      <w:bodyDiv w:val="1"/>
      <w:marLeft w:val="0"/>
      <w:marRight w:val="0"/>
      <w:marTop w:val="0"/>
      <w:marBottom w:val="0"/>
      <w:divBdr>
        <w:top w:val="none" w:sz="0" w:space="0" w:color="auto"/>
        <w:left w:val="none" w:sz="0" w:space="0" w:color="auto"/>
        <w:bottom w:val="none" w:sz="0" w:space="0" w:color="auto"/>
        <w:right w:val="none" w:sz="0" w:space="0" w:color="auto"/>
      </w:divBdr>
    </w:div>
    <w:div w:id="776680676">
      <w:bodyDiv w:val="1"/>
      <w:marLeft w:val="0"/>
      <w:marRight w:val="0"/>
      <w:marTop w:val="0"/>
      <w:marBottom w:val="0"/>
      <w:divBdr>
        <w:top w:val="none" w:sz="0" w:space="0" w:color="auto"/>
        <w:left w:val="none" w:sz="0" w:space="0" w:color="auto"/>
        <w:bottom w:val="none" w:sz="0" w:space="0" w:color="auto"/>
        <w:right w:val="none" w:sz="0" w:space="0" w:color="auto"/>
      </w:divBdr>
    </w:div>
    <w:div w:id="819926514">
      <w:bodyDiv w:val="1"/>
      <w:marLeft w:val="0"/>
      <w:marRight w:val="0"/>
      <w:marTop w:val="0"/>
      <w:marBottom w:val="0"/>
      <w:divBdr>
        <w:top w:val="none" w:sz="0" w:space="0" w:color="auto"/>
        <w:left w:val="none" w:sz="0" w:space="0" w:color="auto"/>
        <w:bottom w:val="none" w:sz="0" w:space="0" w:color="auto"/>
        <w:right w:val="none" w:sz="0" w:space="0" w:color="auto"/>
      </w:divBdr>
    </w:div>
    <w:div w:id="1006056126">
      <w:bodyDiv w:val="1"/>
      <w:marLeft w:val="0"/>
      <w:marRight w:val="0"/>
      <w:marTop w:val="0"/>
      <w:marBottom w:val="0"/>
      <w:divBdr>
        <w:top w:val="none" w:sz="0" w:space="0" w:color="auto"/>
        <w:left w:val="none" w:sz="0" w:space="0" w:color="auto"/>
        <w:bottom w:val="none" w:sz="0" w:space="0" w:color="auto"/>
        <w:right w:val="none" w:sz="0" w:space="0" w:color="auto"/>
      </w:divBdr>
    </w:div>
    <w:div w:id="1430393027">
      <w:bodyDiv w:val="1"/>
      <w:marLeft w:val="0"/>
      <w:marRight w:val="0"/>
      <w:marTop w:val="0"/>
      <w:marBottom w:val="0"/>
      <w:divBdr>
        <w:top w:val="none" w:sz="0" w:space="0" w:color="auto"/>
        <w:left w:val="none" w:sz="0" w:space="0" w:color="auto"/>
        <w:bottom w:val="none" w:sz="0" w:space="0" w:color="auto"/>
        <w:right w:val="none" w:sz="0" w:space="0" w:color="auto"/>
      </w:divBdr>
    </w:div>
    <w:div w:id="1786657083">
      <w:bodyDiv w:val="1"/>
      <w:marLeft w:val="0"/>
      <w:marRight w:val="0"/>
      <w:marTop w:val="0"/>
      <w:marBottom w:val="0"/>
      <w:divBdr>
        <w:top w:val="none" w:sz="0" w:space="0" w:color="auto"/>
        <w:left w:val="none" w:sz="0" w:space="0" w:color="auto"/>
        <w:bottom w:val="none" w:sz="0" w:space="0" w:color="auto"/>
        <w:right w:val="none" w:sz="0" w:space="0" w:color="auto"/>
      </w:divBdr>
    </w:div>
    <w:div w:id="2009211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yperlink" Target="http://redesdigital.com.mx/index.php/redes/article/view/249/6783440" TargetMode="Externa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standalone="yes"?>
<Relationships xmlns="http://schemas.openxmlformats.org/package/2006/relationships"><Relationship Id="rId2" Type="http://schemas.openxmlformats.org/officeDocument/2006/relationships/image" Target="media/image2.jp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8B42-DC4A-49C7-8A1C-3F870B82C05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1971</Words>
  <Characters>10845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Técnicos Inside Lab</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agostina teruggi</cp:lastModifiedBy>
  <cp:revision>2</cp:revision>
  <cp:lastPrinted>2024-11-13T13:43:00Z</cp:lastPrinted>
  <dcterms:created xsi:type="dcterms:W3CDTF">2024-11-24T22:30:00Z</dcterms:created>
  <dcterms:modified xsi:type="dcterms:W3CDTF">2024-11-24T22:30:00Z</dcterms:modified>
</cp:coreProperties>
</file>